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719B7F">
      <w:pPr>
        <w:jc w:val="right"/>
        <w:rPr>
          <w:rFonts w:hint="eastAsia" w:ascii="黑体" w:hAnsi="Arial" w:eastAsia="宋体" w:cs="Arial"/>
          <w:color w:val="auto"/>
          <w:sz w:val="52"/>
          <w:szCs w:val="52"/>
          <w:highlight w:val="none"/>
          <w:lang w:eastAsia="zh-CN"/>
        </w:rPr>
      </w:pPr>
      <w:r>
        <w:rPr>
          <w:rFonts w:hint="eastAsia" w:ascii="宋体" w:hAnsi="宋体"/>
          <w:b/>
          <w:color w:val="auto"/>
          <w:spacing w:val="20"/>
          <w:sz w:val="28"/>
          <w:highlight w:val="none"/>
        </w:rPr>
        <w:t>项目编号：</w:t>
      </w:r>
      <w:r>
        <w:rPr>
          <w:rFonts w:hint="eastAsia" w:ascii="宋体" w:hAnsi="宋体"/>
          <w:b/>
          <w:color w:val="auto"/>
          <w:spacing w:val="20"/>
          <w:sz w:val="28"/>
          <w:highlight w:val="none"/>
          <w:lang w:eastAsia="zh-CN"/>
        </w:rPr>
        <w:t>BAJL20250026</w:t>
      </w:r>
    </w:p>
    <w:p w14:paraId="612A6DA4">
      <w:pPr>
        <w:jc w:val="center"/>
        <w:rPr>
          <w:rFonts w:ascii="黑体" w:hAnsi="Arial" w:eastAsia="黑体" w:cs="Arial"/>
          <w:color w:val="auto"/>
          <w:sz w:val="52"/>
          <w:szCs w:val="52"/>
          <w:highlight w:val="none"/>
        </w:rPr>
      </w:pPr>
    </w:p>
    <w:p w14:paraId="5B212102">
      <w:pPr>
        <w:pStyle w:val="2"/>
        <w:rPr>
          <w:color w:val="auto"/>
          <w:highlight w:val="none"/>
        </w:rPr>
      </w:pPr>
    </w:p>
    <w:p w14:paraId="2B7093B1">
      <w:pPr>
        <w:pStyle w:val="2"/>
        <w:rPr>
          <w:color w:val="auto"/>
          <w:highlight w:val="none"/>
        </w:rPr>
      </w:pPr>
    </w:p>
    <w:p w14:paraId="57C4D663">
      <w:pPr>
        <w:jc w:val="center"/>
        <w:rPr>
          <w:rFonts w:ascii="黑体" w:hAnsi="Arial" w:eastAsia="黑体" w:cs="Arial"/>
          <w:color w:val="auto"/>
          <w:sz w:val="52"/>
          <w:szCs w:val="52"/>
          <w:highlight w:val="none"/>
        </w:rPr>
      </w:pPr>
      <w:r>
        <w:rPr>
          <w:rFonts w:hint="eastAsia" w:ascii="黑体" w:hAnsi="Arial" w:eastAsia="黑体" w:cs="Arial"/>
          <w:color w:val="auto"/>
          <w:sz w:val="52"/>
          <w:szCs w:val="52"/>
          <w:highlight w:val="none"/>
        </w:rPr>
        <w:t>【</w:t>
      </w:r>
      <w:r>
        <w:rPr>
          <w:rFonts w:hint="eastAsia" w:ascii="黑体" w:hAnsi="Arial" w:eastAsia="黑体" w:cs="Arial"/>
          <w:color w:val="auto"/>
          <w:sz w:val="52"/>
          <w:szCs w:val="52"/>
          <w:highlight w:val="none"/>
          <w:lang w:val="en-US" w:eastAsia="zh-CN"/>
        </w:rPr>
        <w:t>工程</w:t>
      </w:r>
      <w:r>
        <w:rPr>
          <w:rFonts w:hint="eastAsia" w:ascii="黑体" w:hAnsi="Arial" w:eastAsia="黑体" w:cs="Arial"/>
          <w:color w:val="auto"/>
          <w:sz w:val="52"/>
          <w:szCs w:val="52"/>
          <w:highlight w:val="none"/>
        </w:rPr>
        <w:t>类】</w:t>
      </w:r>
    </w:p>
    <w:p w14:paraId="0927F8BE">
      <w:pPr>
        <w:jc w:val="center"/>
        <w:rPr>
          <w:rFonts w:hint="eastAsia" w:ascii="黑体" w:eastAsia="黑体"/>
          <w:color w:val="auto"/>
          <w:sz w:val="52"/>
          <w:szCs w:val="52"/>
          <w:highlight w:val="none"/>
          <w:lang w:eastAsia="zh-CN"/>
        </w:rPr>
      </w:pPr>
      <w:bookmarkStart w:id="513" w:name="_GoBack"/>
      <w:r>
        <w:rPr>
          <w:rFonts w:hint="eastAsia" w:ascii="黑体" w:eastAsia="黑体"/>
          <w:color w:val="auto"/>
          <w:sz w:val="52"/>
          <w:szCs w:val="52"/>
          <w:highlight w:val="none"/>
          <w:lang w:eastAsia="zh-CN"/>
        </w:rPr>
        <w:t>2025-2026年日常养护项目交通安全设施专业分包采购</w:t>
      </w:r>
    </w:p>
    <w:bookmarkEnd w:id="513"/>
    <w:p w14:paraId="716CE09A">
      <w:pPr>
        <w:rPr>
          <w:color w:val="auto"/>
          <w:highlight w:val="none"/>
        </w:rPr>
      </w:pPr>
    </w:p>
    <w:p w14:paraId="3EDAE1C5">
      <w:pPr>
        <w:rPr>
          <w:color w:val="auto"/>
          <w:highlight w:val="none"/>
        </w:rPr>
      </w:pPr>
    </w:p>
    <w:p w14:paraId="2569E861">
      <w:pPr>
        <w:jc w:val="center"/>
        <w:rPr>
          <w:rFonts w:ascii="黑体" w:eastAsia="黑体"/>
          <w:color w:val="auto"/>
          <w:sz w:val="72"/>
          <w:szCs w:val="52"/>
          <w:highlight w:val="none"/>
        </w:rPr>
      </w:pPr>
      <w:r>
        <w:rPr>
          <w:rFonts w:hint="eastAsia" w:ascii="黑体" w:eastAsia="黑体"/>
          <w:color w:val="auto"/>
          <w:sz w:val="72"/>
          <w:szCs w:val="52"/>
          <w:highlight w:val="none"/>
        </w:rPr>
        <w:t>招 标 文 件</w:t>
      </w:r>
    </w:p>
    <w:p w14:paraId="4FE1D028">
      <w:pPr>
        <w:spacing w:line="440" w:lineRule="exact"/>
        <w:ind w:firstLine="1040" w:firstLineChars="200"/>
        <w:rPr>
          <w:rFonts w:ascii="Arial" w:hAnsi="Arial" w:eastAsia="仿宋_GB2312" w:cs="Arial"/>
          <w:color w:val="auto"/>
          <w:sz w:val="52"/>
          <w:highlight w:val="none"/>
        </w:rPr>
      </w:pPr>
    </w:p>
    <w:p w14:paraId="747D439E">
      <w:pPr>
        <w:jc w:val="center"/>
        <w:rPr>
          <w:rFonts w:ascii="Arial" w:hAnsi="Arial" w:eastAsia="仿宋_GB2312" w:cs="Arial"/>
          <w:color w:val="auto"/>
          <w:sz w:val="44"/>
          <w:highlight w:val="none"/>
        </w:rPr>
      </w:pPr>
    </w:p>
    <w:p w14:paraId="5DBB90ED">
      <w:pPr>
        <w:pStyle w:val="2"/>
        <w:rPr>
          <w:rFonts w:ascii="Arial" w:hAnsi="Arial" w:eastAsia="仿宋_GB2312" w:cs="Arial"/>
          <w:color w:val="auto"/>
          <w:sz w:val="44"/>
          <w:highlight w:val="none"/>
        </w:rPr>
      </w:pPr>
    </w:p>
    <w:p w14:paraId="6FB54D35">
      <w:pPr>
        <w:rPr>
          <w:color w:val="auto"/>
          <w:highlight w:val="none"/>
        </w:rPr>
      </w:pPr>
    </w:p>
    <w:p w14:paraId="56FACB28">
      <w:pPr>
        <w:rPr>
          <w:rFonts w:ascii="Arial" w:hAnsi="Arial" w:eastAsia="仿宋_GB2312" w:cs="Arial"/>
          <w:color w:val="auto"/>
          <w:sz w:val="44"/>
          <w:highlight w:val="none"/>
        </w:rPr>
      </w:pPr>
    </w:p>
    <w:p w14:paraId="3573879C">
      <w:pPr>
        <w:snapToGrid w:val="0"/>
        <w:spacing w:line="480" w:lineRule="auto"/>
        <w:rPr>
          <w:rFonts w:ascii="Arial" w:hAnsi="Arial" w:eastAsia="仿宋_GB2312" w:cs="Arial"/>
          <w:color w:val="auto"/>
          <w:sz w:val="48"/>
          <w:highlight w:val="none"/>
        </w:rPr>
      </w:pPr>
    </w:p>
    <w:p w14:paraId="0633F03B">
      <w:pPr>
        <w:widowControl/>
        <w:snapToGrid w:val="0"/>
        <w:jc w:val="center"/>
        <w:rPr>
          <w:rFonts w:ascii="仿宋" w:hAnsi="仿宋" w:eastAsia="仿宋" w:cs="Arial"/>
          <w:b/>
          <w:bCs/>
          <w:color w:val="auto"/>
          <w:sz w:val="36"/>
          <w:szCs w:val="36"/>
          <w:highlight w:val="none"/>
        </w:rPr>
      </w:pPr>
      <w:r>
        <w:rPr>
          <w:rFonts w:hint="eastAsia" w:ascii="仿宋" w:hAnsi="仿宋" w:eastAsia="仿宋" w:cs="Arial"/>
          <w:b/>
          <w:bCs/>
          <w:color w:val="auto"/>
          <w:sz w:val="36"/>
          <w:szCs w:val="36"/>
          <w:highlight w:val="none"/>
          <w:lang w:val="en-US" w:eastAsia="zh-CN"/>
        </w:rPr>
        <w:t>招</w:t>
      </w:r>
      <w:r>
        <w:rPr>
          <w:rFonts w:hint="eastAsia" w:ascii="仿宋" w:hAnsi="仿宋" w:eastAsia="仿宋" w:cs="Arial"/>
          <w:b/>
          <w:bCs/>
          <w:color w:val="auto"/>
          <w:sz w:val="36"/>
          <w:szCs w:val="36"/>
          <w:highlight w:val="none"/>
        </w:rPr>
        <w:t xml:space="preserve">   </w:t>
      </w:r>
      <w:r>
        <w:rPr>
          <w:rFonts w:hint="eastAsia" w:ascii="仿宋" w:hAnsi="仿宋" w:eastAsia="仿宋" w:cs="Arial"/>
          <w:b/>
          <w:bCs/>
          <w:color w:val="auto"/>
          <w:sz w:val="36"/>
          <w:szCs w:val="36"/>
          <w:highlight w:val="none"/>
          <w:lang w:val="en-US" w:eastAsia="zh-CN"/>
        </w:rPr>
        <w:t>标</w:t>
      </w:r>
      <w:r>
        <w:rPr>
          <w:rFonts w:hint="eastAsia" w:ascii="仿宋" w:hAnsi="仿宋" w:eastAsia="仿宋" w:cs="Arial"/>
          <w:b/>
          <w:bCs/>
          <w:color w:val="auto"/>
          <w:sz w:val="36"/>
          <w:szCs w:val="36"/>
          <w:highlight w:val="none"/>
        </w:rPr>
        <w:t xml:space="preserve">   人：深圳市长筑路桥工程有限公司</w:t>
      </w:r>
    </w:p>
    <w:p w14:paraId="6AC08A47">
      <w:pPr>
        <w:widowControl/>
        <w:snapToGrid w:val="0"/>
        <w:ind w:left="58"/>
        <w:jc w:val="center"/>
        <w:rPr>
          <w:rFonts w:ascii="仿宋" w:hAnsi="仿宋" w:eastAsia="仿宋" w:cs="Arial"/>
          <w:b/>
          <w:bCs/>
          <w:color w:val="auto"/>
          <w:sz w:val="36"/>
          <w:szCs w:val="36"/>
          <w:highlight w:val="none"/>
        </w:rPr>
      </w:pPr>
      <w:r>
        <w:rPr>
          <w:rFonts w:hint="eastAsia" w:ascii="仿宋" w:hAnsi="仿宋" w:eastAsia="仿宋" w:cs="Arial"/>
          <w:b/>
          <w:bCs/>
          <w:color w:val="auto"/>
          <w:sz w:val="36"/>
          <w:szCs w:val="36"/>
          <w:highlight w:val="none"/>
          <w:lang w:eastAsia="zh-CN"/>
        </w:rPr>
        <w:t>招标代理</w:t>
      </w:r>
      <w:r>
        <w:rPr>
          <w:rFonts w:hint="eastAsia" w:ascii="仿宋" w:hAnsi="仿宋" w:eastAsia="仿宋" w:cs="Arial"/>
          <w:b/>
          <w:bCs/>
          <w:color w:val="auto"/>
          <w:sz w:val="36"/>
          <w:szCs w:val="36"/>
          <w:highlight w:val="none"/>
        </w:rPr>
        <w:t>机构：深圳市宝安区建设工程监理有限公司</w:t>
      </w:r>
    </w:p>
    <w:p w14:paraId="4A5F7FF2">
      <w:pPr>
        <w:pStyle w:val="2"/>
        <w:rPr>
          <w:color w:val="auto"/>
          <w:highlight w:val="none"/>
        </w:rPr>
      </w:pPr>
    </w:p>
    <w:p w14:paraId="6B27540D">
      <w:pPr>
        <w:jc w:val="center"/>
        <w:rPr>
          <w:rFonts w:ascii="仿宋" w:hAnsi="仿宋" w:eastAsia="仿宋"/>
          <w:color w:val="auto"/>
          <w:sz w:val="36"/>
          <w:szCs w:val="36"/>
          <w:highlight w:val="none"/>
        </w:rPr>
      </w:pPr>
      <w:r>
        <w:rPr>
          <w:rFonts w:hint="eastAsia" w:ascii="仿宋" w:hAnsi="仿宋" w:eastAsia="仿宋" w:cs="Arial"/>
          <w:b/>
          <w:bCs/>
          <w:color w:val="auto"/>
          <w:sz w:val="36"/>
          <w:szCs w:val="36"/>
          <w:highlight w:val="none"/>
          <w:lang w:val="en-US" w:eastAsia="zh-CN"/>
        </w:rPr>
        <w:t>2025</w:t>
      </w:r>
      <w:r>
        <w:rPr>
          <w:rFonts w:hint="eastAsia" w:ascii="仿宋" w:hAnsi="仿宋" w:eastAsia="仿宋" w:cs="Arial"/>
          <w:b/>
          <w:bCs/>
          <w:color w:val="auto"/>
          <w:sz w:val="36"/>
          <w:szCs w:val="36"/>
          <w:highlight w:val="none"/>
        </w:rPr>
        <w:t>年</w:t>
      </w:r>
      <w:r>
        <w:rPr>
          <w:rFonts w:hint="eastAsia" w:ascii="仿宋" w:hAnsi="仿宋" w:eastAsia="仿宋" w:cs="宋体"/>
          <w:b/>
          <w:bCs/>
          <w:color w:val="auto"/>
          <w:sz w:val="36"/>
          <w:szCs w:val="36"/>
          <w:highlight w:val="none"/>
          <w:lang w:val="en-US" w:eastAsia="zh-CN"/>
        </w:rPr>
        <w:t>7</w:t>
      </w:r>
      <w:r>
        <w:rPr>
          <w:rFonts w:hint="eastAsia" w:ascii="仿宋" w:hAnsi="仿宋" w:eastAsia="仿宋" w:cs="Arial"/>
          <w:b/>
          <w:bCs/>
          <w:color w:val="auto"/>
          <w:sz w:val="36"/>
          <w:szCs w:val="36"/>
          <w:highlight w:val="none"/>
        </w:rPr>
        <w:t>月</w:t>
      </w:r>
    </w:p>
    <w:p w14:paraId="6FB36B31">
      <w:pPr>
        <w:pageBreakBefore/>
        <w:snapToGrid w:val="0"/>
        <w:spacing w:line="480" w:lineRule="auto"/>
        <w:jc w:val="center"/>
        <w:rPr>
          <w:rFonts w:ascii="Arial" w:hAnsi="Arial" w:eastAsia="仿宋_GB2312" w:cs="Arial"/>
          <w:color w:val="auto"/>
          <w:sz w:val="52"/>
          <w:highlight w:val="none"/>
        </w:rPr>
      </w:pPr>
      <w:r>
        <w:rPr>
          <w:rFonts w:hint="eastAsia" w:ascii="黑体" w:eastAsia="黑体"/>
          <w:color w:val="auto"/>
          <w:sz w:val="36"/>
          <w:szCs w:val="36"/>
          <w:highlight w:val="none"/>
        </w:rPr>
        <w:t xml:space="preserve">目 </w:t>
      </w:r>
      <w:r>
        <w:rPr>
          <w:rFonts w:ascii="黑体" w:eastAsia="黑体"/>
          <w:color w:val="auto"/>
          <w:sz w:val="36"/>
          <w:szCs w:val="36"/>
          <w:highlight w:val="none"/>
        </w:rPr>
        <w:t xml:space="preserve"> </w:t>
      </w:r>
      <w:r>
        <w:rPr>
          <w:rFonts w:hint="eastAsia" w:ascii="黑体" w:eastAsia="黑体"/>
          <w:color w:val="auto"/>
          <w:sz w:val="36"/>
          <w:szCs w:val="36"/>
          <w:highlight w:val="none"/>
        </w:rPr>
        <w:t>录</w:t>
      </w:r>
    </w:p>
    <w:p w14:paraId="66E97F1B">
      <w:pPr>
        <w:pStyle w:val="30"/>
        <w:tabs>
          <w:tab w:val="right" w:leader="dot" w:pos="8306"/>
        </w:tabs>
        <w:rPr>
          <w:rFonts w:hint="eastAsia" w:ascii="仿宋" w:hAnsi="仿宋" w:eastAsia="仿宋" w:cs="仿宋"/>
          <w:i w:val="0"/>
          <w:iCs w:val="0"/>
          <w:sz w:val="24"/>
          <w:szCs w:val="24"/>
        </w:rPr>
      </w:pPr>
      <w:r>
        <w:rPr>
          <w:rFonts w:hint="eastAsia" w:ascii="仿宋" w:hAnsi="仿宋" w:eastAsia="仿宋" w:cs="仿宋"/>
          <w:b w:val="0"/>
          <w:i w:val="0"/>
          <w:iCs w:val="0"/>
          <w:color w:val="auto"/>
          <w:sz w:val="24"/>
          <w:szCs w:val="24"/>
          <w:highlight w:val="none"/>
        </w:rPr>
        <w:fldChar w:fldCharType="begin"/>
      </w:r>
      <w:r>
        <w:rPr>
          <w:rFonts w:hint="eastAsia" w:ascii="仿宋" w:hAnsi="仿宋" w:eastAsia="仿宋" w:cs="仿宋"/>
          <w:b w:val="0"/>
          <w:i w:val="0"/>
          <w:iCs w:val="0"/>
          <w:color w:val="auto"/>
          <w:sz w:val="24"/>
          <w:szCs w:val="24"/>
          <w:highlight w:val="none"/>
        </w:rPr>
        <w:instrText xml:space="preserve"> TOC \o "1-3" \h \z \u </w:instrText>
      </w:r>
      <w:r>
        <w:rPr>
          <w:rFonts w:hint="eastAsia" w:ascii="仿宋" w:hAnsi="仿宋" w:eastAsia="仿宋" w:cs="仿宋"/>
          <w:b w:val="0"/>
          <w:i w:val="0"/>
          <w:iCs w:val="0"/>
          <w:color w:val="auto"/>
          <w:sz w:val="24"/>
          <w:szCs w:val="24"/>
          <w:highlight w:val="none"/>
        </w:rPr>
        <w:fldChar w:fldCharType="separate"/>
      </w:r>
      <w:r>
        <w:rPr>
          <w:rFonts w:hint="eastAsia" w:ascii="仿宋" w:hAnsi="仿宋" w:eastAsia="仿宋" w:cs="仿宋"/>
          <w:i w:val="0"/>
          <w:iCs w:val="0"/>
          <w:color w:val="auto"/>
          <w:sz w:val="24"/>
          <w:szCs w:val="24"/>
          <w:highlight w:val="none"/>
        </w:rPr>
        <w:fldChar w:fldCharType="begin"/>
      </w:r>
      <w:r>
        <w:rPr>
          <w:rFonts w:hint="eastAsia" w:ascii="仿宋" w:hAnsi="仿宋" w:eastAsia="仿宋" w:cs="仿宋"/>
          <w:i w:val="0"/>
          <w:iCs w:val="0"/>
          <w:sz w:val="24"/>
          <w:szCs w:val="24"/>
          <w:highlight w:val="none"/>
        </w:rPr>
        <w:instrText xml:space="preserve"> HYPERLINK \l _Toc4932 </w:instrText>
      </w:r>
      <w:r>
        <w:rPr>
          <w:rFonts w:hint="eastAsia" w:ascii="仿宋" w:hAnsi="仿宋" w:eastAsia="仿宋" w:cs="仿宋"/>
          <w:i w:val="0"/>
          <w:iCs w:val="0"/>
          <w:sz w:val="24"/>
          <w:szCs w:val="24"/>
          <w:highlight w:val="none"/>
        </w:rPr>
        <w:fldChar w:fldCharType="separate"/>
      </w:r>
      <w:r>
        <w:rPr>
          <w:rFonts w:hint="eastAsia" w:ascii="仿宋" w:hAnsi="仿宋" w:eastAsia="仿宋" w:cs="仿宋"/>
          <w:i w:val="0"/>
          <w:iCs w:val="0"/>
          <w:sz w:val="24"/>
          <w:szCs w:val="24"/>
          <w:highlight w:val="none"/>
        </w:rPr>
        <w:t>特别警示条款</w:t>
      </w:r>
      <w:r>
        <w:rPr>
          <w:rFonts w:hint="eastAsia" w:ascii="仿宋" w:hAnsi="仿宋" w:eastAsia="仿宋" w:cs="仿宋"/>
          <w:i w:val="0"/>
          <w:iCs w:val="0"/>
          <w:sz w:val="24"/>
          <w:szCs w:val="24"/>
        </w:rPr>
        <w:tab/>
      </w:r>
      <w:r>
        <w:rPr>
          <w:rFonts w:hint="eastAsia" w:ascii="仿宋" w:hAnsi="仿宋" w:eastAsia="仿宋" w:cs="仿宋"/>
          <w:i w:val="0"/>
          <w:iCs w:val="0"/>
          <w:sz w:val="24"/>
          <w:szCs w:val="24"/>
        </w:rPr>
        <w:fldChar w:fldCharType="begin"/>
      </w:r>
      <w:r>
        <w:rPr>
          <w:rFonts w:hint="eastAsia" w:ascii="仿宋" w:hAnsi="仿宋" w:eastAsia="仿宋" w:cs="仿宋"/>
          <w:i w:val="0"/>
          <w:iCs w:val="0"/>
          <w:sz w:val="24"/>
          <w:szCs w:val="24"/>
        </w:rPr>
        <w:instrText xml:space="preserve"> PAGEREF _Toc4932 \h </w:instrText>
      </w:r>
      <w:r>
        <w:rPr>
          <w:rFonts w:hint="eastAsia" w:ascii="仿宋" w:hAnsi="仿宋" w:eastAsia="仿宋" w:cs="仿宋"/>
          <w:i w:val="0"/>
          <w:iCs w:val="0"/>
          <w:sz w:val="24"/>
          <w:szCs w:val="24"/>
        </w:rPr>
        <w:fldChar w:fldCharType="separate"/>
      </w:r>
      <w:r>
        <w:rPr>
          <w:rFonts w:hint="eastAsia" w:ascii="仿宋" w:hAnsi="仿宋" w:eastAsia="仿宋" w:cs="仿宋"/>
          <w:i w:val="0"/>
          <w:iCs w:val="0"/>
          <w:sz w:val="24"/>
          <w:szCs w:val="24"/>
        </w:rPr>
        <w:t>3</w:t>
      </w:r>
      <w:r>
        <w:rPr>
          <w:rFonts w:hint="eastAsia" w:ascii="仿宋" w:hAnsi="仿宋" w:eastAsia="仿宋" w:cs="仿宋"/>
          <w:i w:val="0"/>
          <w:iCs w:val="0"/>
          <w:sz w:val="24"/>
          <w:szCs w:val="24"/>
        </w:rPr>
        <w:fldChar w:fldCharType="end"/>
      </w:r>
      <w:r>
        <w:rPr>
          <w:rFonts w:hint="eastAsia" w:ascii="仿宋" w:hAnsi="仿宋" w:eastAsia="仿宋" w:cs="仿宋"/>
          <w:i w:val="0"/>
          <w:iCs w:val="0"/>
          <w:color w:val="auto"/>
          <w:sz w:val="24"/>
          <w:szCs w:val="24"/>
          <w:highlight w:val="none"/>
        </w:rPr>
        <w:fldChar w:fldCharType="end"/>
      </w:r>
    </w:p>
    <w:p w14:paraId="6ADE2109">
      <w:pPr>
        <w:pStyle w:val="30"/>
        <w:tabs>
          <w:tab w:val="right" w:leader="dot" w:pos="8306"/>
        </w:tabs>
        <w:rPr>
          <w:rFonts w:hint="eastAsia" w:ascii="仿宋" w:hAnsi="仿宋" w:eastAsia="仿宋" w:cs="仿宋"/>
          <w:i w:val="0"/>
          <w:iCs w:val="0"/>
          <w:sz w:val="24"/>
          <w:szCs w:val="24"/>
        </w:rPr>
      </w:pPr>
      <w:r>
        <w:rPr>
          <w:rFonts w:hint="eastAsia" w:ascii="仿宋" w:hAnsi="仿宋" w:eastAsia="仿宋" w:cs="仿宋"/>
          <w:i w:val="0"/>
          <w:iCs w:val="0"/>
          <w:color w:val="auto"/>
          <w:sz w:val="24"/>
          <w:szCs w:val="24"/>
          <w:highlight w:val="none"/>
        </w:rPr>
        <w:fldChar w:fldCharType="begin"/>
      </w:r>
      <w:r>
        <w:rPr>
          <w:rFonts w:hint="eastAsia" w:ascii="仿宋" w:hAnsi="仿宋" w:eastAsia="仿宋" w:cs="仿宋"/>
          <w:i w:val="0"/>
          <w:iCs w:val="0"/>
          <w:sz w:val="24"/>
          <w:szCs w:val="24"/>
          <w:highlight w:val="none"/>
        </w:rPr>
        <w:instrText xml:space="preserve"> HYPERLINK \l _Toc8043 </w:instrText>
      </w:r>
      <w:r>
        <w:rPr>
          <w:rFonts w:hint="eastAsia" w:ascii="仿宋" w:hAnsi="仿宋" w:eastAsia="仿宋" w:cs="仿宋"/>
          <w:i w:val="0"/>
          <w:iCs w:val="0"/>
          <w:sz w:val="24"/>
          <w:szCs w:val="24"/>
          <w:highlight w:val="none"/>
        </w:rPr>
        <w:fldChar w:fldCharType="separate"/>
      </w:r>
      <w:r>
        <w:rPr>
          <w:rFonts w:hint="eastAsia" w:ascii="仿宋" w:hAnsi="仿宋" w:eastAsia="仿宋" w:cs="仿宋"/>
          <w:i w:val="0"/>
          <w:iCs w:val="0"/>
          <w:sz w:val="24"/>
          <w:szCs w:val="24"/>
          <w:highlight w:val="none"/>
        </w:rPr>
        <w:t>第一册 通用条款</w:t>
      </w:r>
      <w:r>
        <w:rPr>
          <w:rFonts w:hint="eastAsia" w:ascii="仿宋" w:hAnsi="仿宋" w:eastAsia="仿宋" w:cs="仿宋"/>
          <w:i w:val="0"/>
          <w:iCs w:val="0"/>
          <w:sz w:val="24"/>
          <w:szCs w:val="24"/>
        </w:rPr>
        <w:tab/>
      </w:r>
      <w:r>
        <w:rPr>
          <w:rFonts w:hint="eastAsia" w:ascii="仿宋" w:hAnsi="仿宋" w:eastAsia="仿宋" w:cs="仿宋"/>
          <w:i w:val="0"/>
          <w:iCs w:val="0"/>
          <w:sz w:val="24"/>
          <w:szCs w:val="24"/>
        </w:rPr>
        <w:fldChar w:fldCharType="begin"/>
      </w:r>
      <w:r>
        <w:rPr>
          <w:rFonts w:hint="eastAsia" w:ascii="仿宋" w:hAnsi="仿宋" w:eastAsia="仿宋" w:cs="仿宋"/>
          <w:i w:val="0"/>
          <w:iCs w:val="0"/>
          <w:sz w:val="24"/>
          <w:szCs w:val="24"/>
        </w:rPr>
        <w:instrText xml:space="preserve"> PAGEREF _Toc8043 \h </w:instrText>
      </w:r>
      <w:r>
        <w:rPr>
          <w:rFonts w:hint="eastAsia" w:ascii="仿宋" w:hAnsi="仿宋" w:eastAsia="仿宋" w:cs="仿宋"/>
          <w:i w:val="0"/>
          <w:iCs w:val="0"/>
          <w:sz w:val="24"/>
          <w:szCs w:val="24"/>
        </w:rPr>
        <w:fldChar w:fldCharType="separate"/>
      </w:r>
      <w:r>
        <w:rPr>
          <w:rFonts w:hint="eastAsia" w:ascii="仿宋" w:hAnsi="仿宋" w:eastAsia="仿宋" w:cs="仿宋"/>
          <w:i w:val="0"/>
          <w:iCs w:val="0"/>
          <w:sz w:val="24"/>
          <w:szCs w:val="24"/>
        </w:rPr>
        <w:t>5</w:t>
      </w:r>
      <w:r>
        <w:rPr>
          <w:rFonts w:hint="eastAsia" w:ascii="仿宋" w:hAnsi="仿宋" w:eastAsia="仿宋" w:cs="仿宋"/>
          <w:i w:val="0"/>
          <w:iCs w:val="0"/>
          <w:sz w:val="24"/>
          <w:szCs w:val="24"/>
        </w:rPr>
        <w:fldChar w:fldCharType="end"/>
      </w:r>
      <w:r>
        <w:rPr>
          <w:rFonts w:hint="eastAsia" w:ascii="仿宋" w:hAnsi="仿宋" w:eastAsia="仿宋" w:cs="仿宋"/>
          <w:i w:val="0"/>
          <w:iCs w:val="0"/>
          <w:color w:val="auto"/>
          <w:sz w:val="24"/>
          <w:szCs w:val="24"/>
          <w:highlight w:val="none"/>
        </w:rPr>
        <w:fldChar w:fldCharType="end"/>
      </w:r>
    </w:p>
    <w:p w14:paraId="794C5262">
      <w:pPr>
        <w:pStyle w:val="34"/>
        <w:tabs>
          <w:tab w:val="right" w:leader="dot" w:pos="8306"/>
        </w:tabs>
        <w:rPr>
          <w:rFonts w:hint="eastAsia" w:ascii="仿宋" w:hAnsi="仿宋" w:eastAsia="仿宋" w:cs="仿宋"/>
          <w:i w:val="0"/>
          <w:iCs w:val="0"/>
          <w:sz w:val="24"/>
          <w:szCs w:val="24"/>
        </w:rPr>
      </w:pPr>
      <w:r>
        <w:rPr>
          <w:rFonts w:hint="eastAsia" w:ascii="仿宋" w:hAnsi="仿宋" w:eastAsia="仿宋" w:cs="仿宋"/>
          <w:i w:val="0"/>
          <w:iCs w:val="0"/>
          <w:color w:val="auto"/>
          <w:sz w:val="24"/>
          <w:szCs w:val="24"/>
          <w:highlight w:val="none"/>
        </w:rPr>
        <w:fldChar w:fldCharType="begin"/>
      </w:r>
      <w:r>
        <w:rPr>
          <w:rFonts w:hint="eastAsia" w:ascii="仿宋" w:hAnsi="仿宋" w:eastAsia="仿宋" w:cs="仿宋"/>
          <w:i w:val="0"/>
          <w:iCs w:val="0"/>
          <w:sz w:val="24"/>
          <w:szCs w:val="24"/>
          <w:highlight w:val="none"/>
        </w:rPr>
        <w:instrText xml:space="preserve"> HYPERLINK \l _Toc31376 </w:instrText>
      </w:r>
      <w:r>
        <w:rPr>
          <w:rFonts w:hint="eastAsia" w:ascii="仿宋" w:hAnsi="仿宋" w:eastAsia="仿宋" w:cs="仿宋"/>
          <w:i w:val="0"/>
          <w:iCs w:val="0"/>
          <w:sz w:val="24"/>
          <w:szCs w:val="24"/>
          <w:highlight w:val="none"/>
        </w:rPr>
        <w:fldChar w:fldCharType="separate"/>
      </w:r>
      <w:r>
        <w:rPr>
          <w:rFonts w:hint="eastAsia" w:ascii="仿宋" w:hAnsi="仿宋" w:eastAsia="仿宋" w:cs="仿宋"/>
          <w:i w:val="0"/>
          <w:iCs w:val="0"/>
          <w:sz w:val="24"/>
          <w:szCs w:val="24"/>
          <w:highlight w:val="none"/>
        </w:rPr>
        <w:t>第一章  总则</w:t>
      </w:r>
      <w:r>
        <w:rPr>
          <w:rFonts w:hint="eastAsia" w:ascii="仿宋" w:hAnsi="仿宋" w:eastAsia="仿宋" w:cs="仿宋"/>
          <w:i w:val="0"/>
          <w:iCs w:val="0"/>
          <w:sz w:val="24"/>
          <w:szCs w:val="24"/>
        </w:rPr>
        <w:tab/>
      </w:r>
      <w:r>
        <w:rPr>
          <w:rFonts w:hint="eastAsia" w:ascii="仿宋" w:hAnsi="仿宋" w:eastAsia="仿宋" w:cs="仿宋"/>
          <w:i w:val="0"/>
          <w:iCs w:val="0"/>
          <w:sz w:val="24"/>
          <w:szCs w:val="24"/>
        </w:rPr>
        <w:fldChar w:fldCharType="begin"/>
      </w:r>
      <w:r>
        <w:rPr>
          <w:rFonts w:hint="eastAsia" w:ascii="仿宋" w:hAnsi="仿宋" w:eastAsia="仿宋" w:cs="仿宋"/>
          <w:i w:val="0"/>
          <w:iCs w:val="0"/>
          <w:sz w:val="24"/>
          <w:szCs w:val="24"/>
        </w:rPr>
        <w:instrText xml:space="preserve"> PAGEREF _Toc31376 \h </w:instrText>
      </w:r>
      <w:r>
        <w:rPr>
          <w:rFonts w:hint="eastAsia" w:ascii="仿宋" w:hAnsi="仿宋" w:eastAsia="仿宋" w:cs="仿宋"/>
          <w:i w:val="0"/>
          <w:iCs w:val="0"/>
          <w:sz w:val="24"/>
          <w:szCs w:val="24"/>
        </w:rPr>
        <w:fldChar w:fldCharType="separate"/>
      </w:r>
      <w:r>
        <w:rPr>
          <w:rFonts w:hint="eastAsia" w:ascii="仿宋" w:hAnsi="仿宋" w:eastAsia="仿宋" w:cs="仿宋"/>
          <w:i w:val="0"/>
          <w:iCs w:val="0"/>
          <w:sz w:val="24"/>
          <w:szCs w:val="24"/>
        </w:rPr>
        <w:t>6</w:t>
      </w:r>
      <w:r>
        <w:rPr>
          <w:rFonts w:hint="eastAsia" w:ascii="仿宋" w:hAnsi="仿宋" w:eastAsia="仿宋" w:cs="仿宋"/>
          <w:i w:val="0"/>
          <w:iCs w:val="0"/>
          <w:sz w:val="24"/>
          <w:szCs w:val="24"/>
        </w:rPr>
        <w:fldChar w:fldCharType="end"/>
      </w:r>
      <w:r>
        <w:rPr>
          <w:rFonts w:hint="eastAsia" w:ascii="仿宋" w:hAnsi="仿宋" w:eastAsia="仿宋" w:cs="仿宋"/>
          <w:i w:val="0"/>
          <w:iCs w:val="0"/>
          <w:color w:val="auto"/>
          <w:sz w:val="24"/>
          <w:szCs w:val="24"/>
          <w:highlight w:val="none"/>
        </w:rPr>
        <w:fldChar w:fldCharType="end"/>
      </w:r>
    </w:p>
    <w:p w14:paraId="58C3510C">
      <w:pPr>
        <w:pStyle w:val="34"/>
        <w:tabs>
          <w:tab w:val="right" w:leader="dot" w:pos="8306"/>
        </w:tabs>
        <w:rPr>
          <w:rFonts w:hint="eastAsia" w:ascii="仿宋" w:hAnsi="仿宋" w:eastAsia="仿宋" w:cs="仿宋"/>
          <w:i w:val="0"/>
          <w:iCs w:val="0"/>
          <w:sz w:val="24"/>
          <w:szCs w:val="24"/>
        </w:rPr>
      </w:pPr>
      <w:r>
        <w:rPr>
          <w:rFonts w:hint="eastAsia" w:ascii="仿宋" w:hAnsi="仿宋" w:eastAsia="仿宋" w:cs="仿宋"/>
          <w:i w:val="0"/>
          <w:iCs w:val="0"/>
          <w:color w:val="auto"/>
          <w:sz w:val="24"/>
          <w:szCs w:val="24"/>
          <w:highlight w:val="none"/>
        </w:rPr>
        <w:fldChar w:fldCharType="begin"/>
      </w:r>
      <w:r>
        <w:rPr>
          <w:rFonts w:hint="eastAsia" w:ascii="仿宋" w:hAnsi="仿宋" w:eastAsia="仿宋" w:cs="仿宋"/>
          <w:i w:val="0"/>
          <w:iCs w:val="0"/>
          <w:sz w:val="24"/>
          <w:szCs w:val="24"/>
          <w:highlight w:val="none"/>
        </w:rPr>
        <w:instrText xml:space="preserve"> HYPERLINK \l _Toc32450 </w:instrText>
      </w:r>
      <w:r>
        <w:rPr>
          <w:rFonts w:hint="eastAsia" w:ascii="仿宋" w:hAnsi="仿宋" w:eastAsia="仿宋" w:cs="仿宋"/>
          <w:i w:val="0"/>
          <w:iCs w:val="0"/>
          <w:sz w:val="24"/>
          <w:szCs w:val="24"/>
          <w:highlight w:val="none"/>
        </w:rPr>
        <w:fldChar w:fldCharType="separate"/>
      </w:r>
      <w:r>
        <w:rPr>
          <w:rFonts w:hint="eastAsia" w:ascii="仿宋" w:hAnsi="仿宋" w:eastAsia="仿宋" w:cs="仿宋"/>
          <w:i w:val="0"/>
          <w:iCs w:val="0"/>
          <w:sz w:val="24"/>
          <w:szCs w:val="24"/>
          <w:highlight w:val="none"/>
        </w:rPr>
        <w:t>第二章  招标文件</w:t>
      </w:r>
      <w:r>
        <w:rPr>
          <w:rFonts w:hint="eastAsia" w:ascii="仿宋" w:hAnsi="仿宋" w:eastAsia="仿宋" w:cs="仿宋"/>
          <w:i w:val="0"/>
          <w:iCs w:val="0"/>
          <w:sz w:val="24"/>
          <w:szCs w:val="24"/>
        </w:rPr>
        <w:tab/>
      </w:r>
      <w:r>
        <w:rPr>
          <w:rFonts w:hint="eastAsia" w:ascii="仿宋" w:hAnsi="仿宋" w:eastAsia="仿宋" w:cs="仿宋"/>
          <w:i w:val="0"/>
          <w:iCs w:val="0"/>
          <w:sz w:val="24"/>
          <w:szCs w:val="24"/>
        </w:rPr>
        <w:fldChar w:fldCharType="begin"/>
      </w:r>
      <w:r>
        <w:rPr>
          <w:rFonts w:hint="eastAsia" w:ascii="仿宋" w:hAnsi="仿宋" w:eastAsia="仿宋" w:cs="仿宋"/>
          <w:i w:val="0"/>
          <w:iCs w:val="0"/>
          <w:sz w:val="24"/>
          <w:szCs w:val="24"/>
        </w:rPr>
        <w:instrText xml:space="preserve"> PAGEREF _Toc32450 \h </w:instrText>
      </w:r>
      <w:r>
        <w:rPr>
          <w:rFonts w:hint="eastAsia" w:ascii="仿宋" w:hAnsi="仿宋" w:eastAsia="仿宋" w:cs="仿宋"/>
          <w:i w:val="0"/>
          <w:iCs w:val="0"/>
          <w:sz w:val="24"/>
          <w:szCs w:val="24"/>
        </w:rPr>
        <w:fldChar w:fldCharType="separate"/>
      </w:r>
      <w:r>
        <w:rPr>
          <w:rFonts w:hint="eastAsia" w:ascii="仿宋" w:hAnsi="仿宋" w:eastAsia="仿宋" w:cs="仿宋"/>
          <w:i w:val="0"/>
          <w:iCs w:val="0"/>
          <w:sz w:val="24"/>
          <w:szCs w:val="24"/>
        </w:rPr>
        <w:t>8</w:t>
      </w:r>
      <w:r>
        <w:rPr>
          <w:rFonts w:hint="eastAsia" w:ascii="仿宋" w:hAnsi="仿宋" w:eastAsia="仿宋" w:cs="仿宋"/>
          <w:i w:val="0"/>
          <w:iCs w:val="0"/>
          <w:sz w:val="24"/>
          <w:szCs w:val="24"/>
        </w:rPr>
        <w:fldChar w:fldCharType="end"/>
      </w:r>
      <w:r>
        <w:rPr>
          <w:rFonts w:hint="eastAsia" w:ascii="仿宋" w:hAnsi="仿宋" w:eastAsia="仿宋" w:cs="仿宋"/>
          <w:i w:val="0"/>
          <w:iCs w:val="0"/>
          <w:color w:val="auto"/>
          <w:sz w:val="24"/>
          <w:szCs w:val="24"/>
          <w:highlight w:val="none"/>
        </w:rPr>
        <w:fldChar w:fldCharType="end"/>
      </w:r>
    </w:p>
    <w:p w14:paraId="579DE56E">
      <w:pPr>
        <w:pStyle w:val="34"/>
        <w:tabs>
          <w:tab w:val="right" w:leader="dot" w:pos="8306"/>
        </w:tabs>
        <w:rPr>
          <w:rFonts w:hint="eastAsia" w:ascii="仿宋" w:hAnsi="仿宋" w:eastAsia="仿宋" w:cs="仿宋"/>
          <w:i w:val="0"/>
          <w:iCs w:val="0"/>
          <w:sz w:val="24"/>
          <w:szCs w:val="24"/>
        </w:rPr>
      </w:pPr>
      <w:r>
        <w:rPr>
          <w:rFonts w:hint="eastAsia" w:ascii="仿宋" w:hAnsi="仿宋" w:eastAsia="仿宋" w:cs="仿宋"/>
          <w:i w:val="0"/>
          <w:iCs w:val="0"/>
          <w:color w:val="auto"/>
          <w:sz w:val="24"/>
          <w:szCs w:val="24"/>
          <w:highlight w:val="none"/>
        </w:rPr>
        <w:fldChar w:fldCharType="begin"/>
      </w:r>
      <w:r>
        <w:rPr>
          <w:rFonts w:hint="eastAsia" w:ascii="仿宋" w:hAnsi="仿宋" w:eastAsia="仿宋" w:cs="仿宋"/>
          <w:i w:val="0"/>
          <w:iCs w:val="0"/>
          <w:sz w:val="24"/>
          <w:szCs w:val="24"/>
          <w:highlight w:val="none"/>
        </w:rPr>
        <w:instrText xml:space="preserve"> HYPERLINK \l _Toc13307 </w:instrText>
      </w:r>
      <w:r>
        <w:rPr>
          <w:rFonts w:hint="eastAsia" w:ascii="仿宋" w:hAnsi="仿宋" w:eastAsia="仿宋" w:cs="仿宋"/>
          <w:i w:val="0"/>
          <w:iCs w:val="0"/>
          <w:sz w:val="24"/>
          <w:szCs w:val="24"/>
          <w:highlight w:val="none"/>
        </w:rPr>
        <w:fldChar w:fldCharType="separate"/>
      </w:r>
      <w:r>
        <w:rPr>
          <w:rFonts w:hint="eastAsia" w:ascii="仿宋" w:hAnsi="仿宋" w:eastAsia="仿宋" w:cs="仿宋"/>
          <w:i w:val="0"/>
          <w:iCs w:val="0"/>
          <w:sz w:val="24"/>
          <w:szCs w:val="24"/>
          <w:highlight w:val="none"/>
        </w:rPr>
        <w:t>第三章  投标文件的编制</w:t>
      </w:r>
      <w:r>
        <w:rPr>
          <w:rFonts w:hint="eastAsia" w:ascii="仿宋" w:hAnsi="仿宋" w:eastAsia="仿宋" w:cs="仿宋"/>
          <w:i w:val="0"/>
          <w:iCs w:val="0"/>
          <w:sz w:val="24"/>
          <w:szCs w:val="24"/>
        </w:rPr>
        <w:tab/>
      </w:r>
      <w:r>
        <w:rPr>
          <w:rFonts w:hint="eastAsia" w:ascii="仿宋" w:hAnsi="仿宋" w:eastAsia="仿宋" w:cs="仿宋"/>
          <w:i w:val="0"/>
          <w:iCs w:val="0"/>
          <w:sz w:val="24"/>
          <w:szCs w:val="24"/>
        </w:rPr>
        <w:fldChar w:fldCharType="begin"/>
      </w:r>
      <w:r>
        <w:rPr>
          <w:rFonts w:hint="eastAsia" w:ascii="仿宋" w:hAnsi="仿宋" w:eastAsia="仿宋" w:cs="仿宋"/>
          <w:i w:val="0"/>
          <w:iCs w:val="0"/>
          <w:sz w:val="24"/>
          <w:szCs w:val="24"/>
        </w:rPr>
        <w:instrText xml:space="preserve"> PAGEREF _Toc13307 \h </w:instrText>
      </w:r>
      <w:r>
        <w:rPr>
          <w:rFonts w:hint="eastAsia" w:ascii="仿宋" w:hAnsi="仿宋" w:eastAsia="仿宋" w:cs="仿宋"/>
          <w:i w:val="0"/>
          <w:iCs w:val="0"/>
          <w:sz w:val="24"/>
          <w:szCs w:val="24"/>
        </w:rPr>
        <w:fldChar w:fldCharType="separate"/>
      </w:r>
      <w:r>
        <w:rPr>
          <w:rFonts w:hint="eastAsia" w:ascii="仿宋" w:hAnsi="仿宋" w:eastAsia="仿宋" w:cs="仿宋"/>
          <w:i w:val="0"/>
          <w:iCs w:val="0"/>
          <w:sz w:val="24"/>
          <w:szCs w:val="24"/>
        </w:rPr>
        <w:t>10</w:t>
      </w:r>
      <w:r>
        <w:rPr>
          <w:rFonts w:hint="eastAsia" w:ascii="仿宋" w:hAnsi="仿宋" w:eastAsia="仿宋" w:cs="仿宋"/>
          <w:i w:val="0"/>
          <w:iCs w:val="0"/>
          <w:sz w:val="24"/>
          <w:szCs w:val="24"/>
        </w:rPr>
        <w:fldChar w:fldCharType="end"/>
      </w:r>
      <w:r>
        <w:rPr>
          <w:rFonts w:hint="eastAsia" w:ascii="仿宋" w:hAnsi="仿宋" w:eastAsia="仿宋" w:cs="仿宋"/>
          <w:i w:val="0"/>
          <w:iCs w:val="0"/>
          <w:color w:val="auto"/>
          <w:sz w:val="24"/>
          <w:szCs w:val="24"/>
          <w:highlight w:val="none"/>
        </w:rPr>
        <w:fldChar w:fldCharType="end"/>
      </w:r>
    </w:p>
    <w:p w14:paraId="7C7F6B8F">
      <w:pPr>
        <w:pStyle w:val="34"/>
        <w:tabs>
          <w:tab w:val="right" w:leader="dot" w:pos="8306"/>
        </w:tabs>
        <w:rPr>
          <w:rFonts w:hint="eastAsia" w:ascii="仿宋" w:hAnsi="仿宋" w:eastAsia="仿宋" w:cs="仿宋"/>
          <w:i w:val="0"/>
          <w:iCs w:val="0"/>
          <w:sz w:val="24"/>
          <w:szCs w:val="24"/>
        </w:rPr>
      </w:pPr>
      <w:r>
        <w:rPr>
          <w:rFonts w:hint="eastAsia" w:ascii="仿宋" w:hAnsi="仿宋" w:eastAsia="仿宋" w:cs="仿宋"/>
          <w:i w:val="0"/>
          <w:iCs w:val="0"/>
          <w:color w:val="auto"/>
          <w:sz w:val="24"/>
          <w:szCs w:val="24"/>
          <w:highlight w:val="none"/>
        </w:rPr>
        <w:fldChar w:fldCharType="begin"/>
      </w:r>
      <w:r>
        <w:rPr>
          <w:rFonts w:hint="eastAsia" w:ascii="仿宋" w:hAnsi="仿宋" w:eastAsia="仿宋" w:cs="仿宋"/>
          <w:i w:val="0"/>
          <w:iCs w:val="0"/>
          <w:sz w:val="24"/>
          <w:szCs w:val="24"/>
          <w:highlight w:val="none"/>
        </w:rPr>
        <w:instrText xml:space="preserve"> HYPERLINK \l _Toc1751 </w:instrText>
      </w:r>
      <w:r>
        <w:rPr>
          <w:rFonts w:hint="eastAsia" w:ascii="仿宋" w:hAnsi="仿宋" w:eastAsia="仿宋" w:cs="仿宋"/>
          <w:i w:val="0"/>
          <w:iCs w:val="0"/>
          <w:sz w:val="24"/>
          <w:szCs w:val="24"/>
          <w:highlight w:val="none"/>
        </w:rPr>
        <w:fldChar w:fldCharType="separate"/>
      </w:r>
      <w:r>
        <w:rPr>
          <w:rFonts w:hint="eastAsia" w:ascii="仿宋" w:hAnsi="仿宋" w:eastAsia="仿宋" w:cs="仿宋"/>
          <w:i w:val="0"/>
          <w:iCs w:val="0"/>
          <w:sz w:val="24"/>
          <w:szCs w:val="24"/>
          <w:highlight w:val="none"/>
        </w:rPr>
        <w:t>第四章  投标文件的递交</w:t>
      </w:r>
      <w:r>
        <w:rPr>
          <w:rFonts w:hint="eastAsia" w:ascii="仿宋" w:hAnsi="仿宋" w:eastAsia="仿宋" w:cs="仿宋"/>
          <w:i w:val="0"/>
          <w:iCs w:val="0"/>
          <w:sz w:val="24"/>
          <w:szCs w:val="24"/>
        </w:rPr>
        <w:tab/>
      </w:r>
      <w:r>
        <w:rPr>
          <w:rFonts w:hint="eastAsia" w:ascii="仿宋" w:hAnsi="仿宋" w:eastAsia="仿宋" w:cs="仿宋"/>
          <w:i w:val="0"/>
          <w:iCs w:val="0"/>
          <w:sz w:val="24"/>
          <w:szCs w:val="24"/>
        </w:rPr>
        <w:fldChar w:fldCharType="begin"/>
      </w:r>
      <w:r>
        <w:rPr>
          <w:rFonts w:hint="eastAsia" w:ascii="仿宋" w:hAnsi="仿宋" w:eastAsia="仿宋" w:cs="仿宋"/>
          <w:i w:val="0"/>
          <w:iCs w:val="0"/>
          <w:sz w:val="24"/>
          <w:szCs w:val="24"/>
        </w:rPr>
        <w:instrText xml:space="preserve"> PAGEREF _Toc1751 \h </w:instrText>
      </w:r>
      <w:r>
        <w:rPr>
          <w:rFonts w:hint="eastAsia" w:ascii="仿宋" w:hAnsi="仿宋" w:eastAsia="仿宋" w:cs="仿宋"/>
          <w:i w:val="0"/>
          <w:iCs w:val="0"/>
          <w:sz w:val="24"/>
          <w:szCs w:val="24"/>
        </w:rPr>
        <w:fldChar w:fldCharType="separate"/>
      </w:r>
      <w:r>
        <w:rPr>
          <w:rFonts w:hint="eastAsia" w:ascii="仿宋" w:hAnsi="仿宋" w:eastAsia="仿宋" w:cs="仿宋"/>
          <w:i w:val="0"/>
          <w:iCs w:val="0"/>
          <w:sz w:val="24"/>
          <w:szCs w:val="24"/>
        </w:rPr>
        <w:t>12</w:t>
      </w:r>
      <w:r>
        <w:rPr>
          <w:rFonts w:hint="eastAsia" w:ascii="仿宋" w:hAnsi="仿宋" w:eastAsia="仿宋" w:cs="仿宋"/>
          <w:i w:val="0"/>
          <w:iCs w:val="0"/>
          <w:sz w:val="24"/>
          <w:szCs w:val="24"/>
        </w:rPr>
        <w:fldChar w:fldCharType="end"/>
      </w:r>
      <w:r>
        <w:rPr>
          <w:rFonts w:hint="eastAsia" w:ascii="仿宋" w:hAnsi="仿宋" w:eastAsia="仿宋" w:cs="仿宋"/>
          <w:i w:val="0"/>
          <w:iCs w:val="0"/>
          <w:color w:val="auto"/>
          <w:sz w:val="24"/>
          <w:szCs w:val="24"/>
          <w:highlight w:val="none"/>
        </w:rPr>
        <w:fldChar w:fldCharType="end"/>
      </w:r>
    </w:p>
    <w:p w14:paraId="7EF0347F">
      <w:pPr>
        <w:pStyle w:val="34"/>
        <w:tabs>
          <w:tab w:val="right" w:leader="dot" w:pos="8306"/>
        </w:tabs>
        <w:rPr>
          <w:rFonts w:hint="eastAsia" w:ascii="仿宋" w:hAnsi="仿宋" w:eastAsia="仿宋" w:cs="仿宋"/>
          <w:i w:val="0"/>
          <w:iCs w:val="0"/>
          <w:sz w:val="24"/>
          <w:szCs w:val="24"/>
        </w:rPr>
      </w:pPr>
      <w:r>
        <w:rPr>
          <w:rFonts w:hint="eastAsia" w:ascii="仿宋" w:hAnsi="仿宋" w:eastAsia="仿宋" w:cs="仿宋"/>
          <w:i w:val="0"/>
          <w:iCs w:val="0"/>
          <w:color w:val="auto"/>
          <w:sz w:val="24"/>
          <w:szCs w:val="24"/>
          <w:highlight w:val="none"/>
        </w:rPr>
        <w:fldChar w:fldCharType="begin"/>
      </w:r>
      <w:r>
        <w:rPr>
          <w:rFonts w:hint="eastAsia" w:ascii="仿宋" w:hAnsi="仿宋" w:eastAsia="仿宋" w:cs="仿宋"/>
          <w:i w:val="0"/>
          <w:iCs w:val="0"/>
          <w:sz w:val="24"/>
          <w:szCs w:val="24"/>
          <w:highlight w:val="none"/>
        </w:rPr>
        <w:instrText xml:space="preserve"> HYPERLINK \l _Toc20187 </w:instrText>
      </w:r>
      <w:r>
        <w:rPr>
          <w:rFonts w:hint="eastAsia" w:ascii="仿宋" w:hAnsi="仿宋" w:eastAsia="仿宋" w:cs="仿宋"/>
          <w:i w:val="0"/>
          <w:iCs w:val="0"/>
          <w:sz w:val="24"/>
          <w:szCs w:val="24"/>
          <w:highlight w:val="none"/>
        </w:rPr>
        <w:fldChar w:fldCharType="separate"/>
      </w:r>
      <w:r>
        <w:rPr>
          <w:rFonts w:hint="eastAsia" w:ascii="仿宋" w:hAnsi="仿宋" w:eastAsia="仿宋" w:cs="仿宋"/>
          <w:i w:val="0"/>
          <w:iCs w:val="0"/>
          <w:sz w:val="24"/>
          <w:szCs w:val="24"/>
          <w:highlight w:val="none"/>
        </w:rPr>
        <w:t>第五章  开标</w:t>
      </w:r>
      <w:r>
        <w:rPr>
          <w:rFonts w:hint="eastAsia" w:ascii="仿宋" w:hAnsi="仿宋" w:eastAsia="仿宋" w:cs="仿宋"/>
          <w:i w:val="0"/>
          <w:iCs w:val="0"/>
          <w:sz w:val="24"/>
          <w:szCs w:val="24"/>
        </w:rPr>
        <w:tab/>
      </w:r>
      <w:r>
        <w:rPr>
          <w:rFonts w:hint="eastAsia" w:ascii="仿宋" w:hAnsi="仿宋" w:eastAsia="仿宋" w:cs="仿宋"/>
          <w:i w:val="0"/>
          <w:iCs w:val="0"/>
          <w:sz w:val="24"/>
          <w:szCs w:val="24"/>
        </w:rPr>
        <w:fldChar w:fldCharType="begin"/>
      </w:r>
      <w:r>
        <w:rPr>
          <w:rFonts w:hint="eastAsia" w:ascii="仿宋" w:hAnsi="仿宋" w:eastAsia="仿宋" w:cs="仿宋"/>
          <w:i w:val="0"/>
          <w:iCs w:val="0"/>
          <w:sz w:val="24"/>
          <w:szCs w:val="24"/>
        </w:rPr>
        <w:instrText xml:space="preserve"> PAGEREF _Toc20187 \h </w:instrText>
      </w:r>
      <w:r>
        <w:rPr>
          <w:rFonts w:hint="eastAsia" w:ascii="仿宋" w:hAnsi="仿宋" w:eastAsia="仿宋" w:cs="仿宋"/>
          <w:i w:val="0"/>
          <w:iCs w:val="0"/>
          <w:sz w:val="24"/>
          <w:szCs w:val="24"/>
        </w:rPr>
        <w:fldChar w:fldCharType="separate"/>
      </w:r>
      <w:r>
        <w:rPr>
          <w:rFonts w:hint="eastAsia" w:ascii="仿宋" w:hAnsi="仿宋" w:eastAsia="仿宋" w:cs="仿宋"/>
          <w:i w:val="0"/>
          <w:iCs w:val="0"/>
          <w:sz w:val="24"/>
          <w:szCs w:val="24"/>
        </w:rPr>
        <w:t>14</w:t>
      </w:r>
      <w:r>
        <w:rPr>
          <w:rFonts w:hint="eastAsia" w:ascii="仿宋" w:hAnsi="仿宋" w:eastAsia="仿宋" w:cs="仿宋"/>
          <w:i w:val="0"/>
          <w:iCs w:val="0"/>
          <w:sz w:val="24"/>
          <w:szCs w:val="24"/>
        </w:rPr>
        <w:fldChar w:fldCharType="end"/>
      </w:r>
      <w:r>
        <w:rPr>
          <w:rFonts w:hint="eastAsia" w:ascii="仿宋" w:hAnsi="仿宋" w:eastAsia="仿宋" w:cs="仿宋"/>
          <w:i w:val="0"/>
          <w:iCs w:val="0"/>
          <w:color w:val="auto"/>
          <w:sz w:val="24"/>
          <w:szCs w:val="24"/>
          <w:highlight w:val="none"/>
        </w:rPr>
        <w:fldChar w:fldCharType="end"/>
      </w:r>
    </w:p>
    <w:p w14:paraId="455D908C">
      <w:pPr>
        <w:pStyle w:val="34"/>
        <w:tabs>
          <w:tab w:val="right" w:leader="dot" w:pos="8306"/>
        </w:tabs>
        <w:rPr>
          <w:rFonts w:hint="eastAsia" w:ascii="仿宋" w:hAnsi="仿宋" w:eastAsia="仿宋" w:cs="仿宋"/>
          <w:i w:val="0"/>
          <w:iCs w:val="0"/>
          <w:sz w:val="24"/>
          <w:szCs w:val="24"/>
        </w:rPr>
      </w:pPr>
      <w:r>
        <w:rPr>
          <w:rFonts w:hint="eastAsia" w:ascii="仿宋" w:hAnsi="仿宋" w:eastAsia="仿宋" w:cs="仿宋"/>
          <w:i w:val="0"/>
          <w:iCs w:val="0"/>
          <w:color w:val="auto"/>
          <w:sz w:val="24"/>
          <w:szCs w:val="24"/>
          <w:highlight w:val="none"/>
        </w:rPr>
        <w:fldChar w:fldCharType="begin"/>
      </w:r>
      <w:r>
        <w:rPr>
          <w:rFonts w:hint="eastAsia" w:ascii="仿宋" w:hAnsi="仿宋" w:eastAsia="仿宋" w:cs="仿宋"/>
          <w:i w:val="0"/>
          <w:iCs w:val="0"/>
          <w:sz w:val="24"/>
          <w:szCs w:val="24"/>
          <w:highlight w:val="none"/>
        </w:rPr>
        <w:instrText xml:space="preserve"> HYPERLINK \l _Toc11385 </w:instrText>
      </w:r>
      <w:r>
        <w:rPr>
          <w:rFonts w:hint="eastAsia" w:ascii="仿宋" w:hAnsi="仿宋" w:eastAsia="仿宋" w:cs="仿宋"/>
          <w:i w:val="0"/>
          <w:iCs w:val="0"/>
          <w:sz w:val="24"/>
          <w:szCs w:val="24"/>
          <w:highlight w:val="none"/>
        </w:rPr>
        <w:fldChar w:fldCharType="separate"/>
      </w:r>
      <w:r>
        <w:rPr>
          <w:rFonts w:hint="eastAsia" w:ascii="仿宋" w:hAnsi="仿宋" w:eastAsia="仿宋" w:cs="仿宋"/>
          <w:i w:val="0"/>
          <w:iCs w:val="0"/>
          <w:sz w:val="24"/>
          <w:szCs w:val="24"/>
          <w:highlight w:val="none"/>
        </w:rPr>
        <w:t>第六章  评标</w:t>
      </w:r>
      <w:r>
        <w:rPr>
          <w:rFonts w:hint="eastAsia" w:ascii="仿宋" w:hAnsi="仿宋" w:eastAsia="仿宋" w:cs="仿宋"/>
          <w:i w:val="0"/>
          <w:iCs w:val="0"/>
          <w:sz w:val="24"/>
          <w:szCs w:val="24"/>
        </w:rPr>
        <w:tab/>
      </w:r>
      <w:r>
        <w:rPr>
          <w:rFonts w:hint="eastAsia" w:ascii="仿宋" w:hAnsi="仿宋" w:eastAsia="仿宋" w:cs="仿宋"/>
          <w:i w:val="0"/>
          <w:iCs w:val="0"/>
          <w:sz w:val="24"/>
          <w:szCs w:val="24"/>
        </w:rPr>
        <w:fldChar w:fldCharType="begin"/>
      </w:r>
      <w:r>
        <w:rPr>
          <w:rFonts w:hint="eastAsia" w:ascii="仿宋" w:hAnsi="仿宋" w:eastAsia="仿宋" w:cs="仿宋"/>
          <w:i w:val="0"/>
          <w:iCs w:val="0"/>
          <w:sz w:val="24"/>
          <w:szCs w:val="24"/>
        </w:rPr>
        <w:instrText xml:space="preserve"> PAGEREF _Toc11385 \h </w:instrText>
      </w:r>
      <w:r>
        <w:rPr>
          <w:rFonts w:hint="eastAsia" w:ascii="仿宋" w:hAnsi="仿宋" w:eastAsia="仿宋" w:cs="仿宋"/>
          <w:i w:val="0"/>
          <w:iCs w:val="0"/>
          <w:sz w:val="24"/>
          <w:szCs w:val="24"/>
        </w:rPr>
        <w:fldChar w:fldCharType="separate"/>
      </w:r>
      <w:r>
        <w:rPr>
          <w:rFonts w:hint="eastAsia" w:ascii="仿宋" w:hAnsi="仿宋" w:eastAsia="仿宋" w:cs="仿宋"/>
          <w:i w:val="0"/>
          <w:iCs w:val="0"/>
          <w:sz w:val="24"/>
          <w:szCs w:val="24"/>
        </w:rPr>
        <w:t>14</w:t>
      </w:r>
      <w:r>
        <w:rPr>
          <w:rFonts w:hint="eastAsia" w:ascii="仿宋" w:hAnsi="仿宋" w:eastAsia="仿宋" w:cs="仿宋"/>
          <w:i w:val="0"/>
          <w:iCs w:val="0"/>
          <w:sz w:val="24"/>
          <w:szCs w:val="24"/>
        </w:rPr>
        <w:fldChar w:fldCharType="end"/>
      </w:r>
      <w:r>
        <w:rPr>
          <w:rFonts w:hint="eastAsia" w:ascii="仿宋" w:hAnsi="仿宋" w:eastAsia="仿宋" w:cs="仿宋"/>
          <w:i w:val="0"/>
          <w:iCs w:val="0"/>
          <w:color w:val="auto"/>
          <w:sz w:val="24"/>
          <w:szCs w:val="24"/>
          <w:highlight w:val="none"/>
        </w:rPr>
        <w:fldChar w:fldCharType="end"/>
      </w:r>
    </w:p>
    <w:p w14:paraId="51E3A3E4">
      <w:pPr>
        <w:pStyle w:val="34"/>
        <w:tabs>
          <w:tab w:val="right" w:leader="dot" w:pos="8306"/>
        </w:tabs>
        <w:rPr>
          <w:rFonts w:hint="eastAsia" w:ascii="仿宋" w:hAnsi="仿宋" w:eastAsia="仿宋" w:cs="仿宋"/>
          <w:i w:val="0"/>
          <w:iCs w:val="0"/>
          <w:sz w:val="24"/>
          <w:szCs w:val="24"/>
        </w:rPr>
      </w:pPr>
      <w:r>
        <w:rPr>
          <w:rFonts w:hint="eastAsia" w:ascii="仿宋" w:hAnsi="仿宋" w:eastAsia="仿宋" w:cs="仿宋"/>
          <w:i w:val="0"/>
          <w:iCs w:val="0"/>
          <w:color w:val="auto"/>
          <w:sz w:val="24"/>
          <w:szCs w:val="24"/>
          <w:highlight w:val="none"/>
        </w:rPr>
        <w:fldChar w:fldCharType="begin"/>
      </w:r>
      <w:r>
        <w:rPr>
          <w:rFonts w:hint="eastAsia" w:ascii="仿宋" w:hAnsi="仿宋" w:eastAsia="仿宋" w:cs="仿宋"/>
          <w:i w:val="0"/>
          <w:iCs w:val="0"/>
          <w:sz w:val="24"/>
          <w:szCs w:val="24"/>
          <w:highlight w:val="none"/>
        </w:rPr>
        <w:instrText xml:space="preserve"> HYPERLINK \l _Toc19535 </w:instrText>
      </w:r>
      <w:r>
        <w:rPr>
          <w:rFonts w:hint="eastAsia" w:ascii="仿宋" w:hAnsi="仿宋" w:eastAsia="仿宋" w:cs="仿宋"/>
          <w:i w:val="0"/>
          <w:iCs w:val="0"/>
          <w:sz w:val="24"/>
          <w:szCs w:val="24"/>
          <w:highlight w:val="none"/>
        </w:rPr>
        <w:fldChar w:fldCharType="separate"/>
      </w:r>
      <w:r>
        <w:rPr>
          <w:rFonts w:hint="eastAsia" w:ascii="仿宋" w:hAnsi="仿宋" w:eastAsia="仿宋" w:cs="仿宋"/>
          <w:i w:val="0"/>
          <w:iCs w:val="0"/>
          <w:sz w:val="24"/>
          <w:szCs w:val="24"/>
          <w:highlight w:val="none"/>
        </w:rPr>
        <w:t>第七章  评审程序及评标方法</w:t>
      </w:r>
      <w:r>
        <w:rPr>
          <w:rFonts w:hint="eastAsia" w:ascii="仿宋" w:hAnsi="仿宋" w:eastAsia="仿宋" w:cs="仿宋"/>
          <w:i w:val="0"/>
          <w:iCs w:val="0"/>
          <w:sz w:val="24"/>
          <w:szCs w:val="24"/>
        </w:rPr>
        <w:tab/>
      </w:r>
      <w:r>
        <w:rPr>
          <w:rFonts w:hint="eastAsia" w:ascii="仿宋" w:hAnsi="仿宋" w:eastAsia="仿宋" w:cs="仿宋"/>
          <w:i w:val="0"/>
          <w:iCs w:val="0"/>
          <w:sz w:val="24"/>
          <w:szCs w:val="24"/>
        </w:rPr>
        <w:fldChar w:fldCharType="begin"/>
      </w:r>
      <w:r>
        <w:rPr>
          <w:rFonts w:hint="eastAsia" w:ascii="仿宋" w:hAnsi="仿宋" w:eastAsia="仿宋" w:cs="仿宋"/>
          <w:i w:val="0"/>
          <w:iCs w:val="0"/>
          <w:sz w:val="24"/>
          <w:szCs w:val="24"/>
        </w:rPr>
        <w:instrText xml:space="preserve"> PAGEREF _Toc19535 \h </w:instrText>
      </w:r>
      <w:r>
        <w:rPr>
          <w:rFonts w:hint="eastAsia" w:ascii="仿宋" w:hAnsi="仿宋" w:eastAsia="仿宋" w:cs="仿宋"/>
          <w:i w:val="0"/>
          <w:iCs w:val="0"/>
          <w:sz w:val="24"/>
          <w:szCs w:val="24"/>
        </w:rPr>
        <w:fldChar w:fldCharType="separate"/>
      </w:r>
      <w:r>
        <w:rPr>
          <w:rFonts w:hint="eastAsia" w:ascii="仿宋" w:hAnsi="仿宋" w:eastAsia="仿宋" w:cs="仿宋"/>
          <w:i w:val="0"/>
          <w:iCs w:val="0"/>
          <w:sz w:val="24"/>
          <w:szCs w:val="24"/>
        </w:rPr>
        <w:t>15</w:t>
      </w:r>
      <w:r>
        <w:rPr>
          <w:rFonts w:hint="eastAsia" w:ascii="仿宋" w:hAnsi="仿宋" w:eastAsia="仿宋" w:cs="仿宋"/>
          <w:i w:val="0"/>
          <w:iCs w:val="0"/>
          <w:sz w:val="24"/>
          <w:szCs w:val="24"/>
        </w:rPr>
        <w:fldChar w:fldCharType="end"/>
      </w:r>
      <w:r>
        <w:rPr>
          <w:rFonts w:hint="eastAsia" w:ascii="仿宋" w:hAnsi="仿宋" w:eastAsia="仿宋" w:cs="仿宋"/>
          <w:i w:val="0"/>
          <w:iCs w:val="0"/>
          <w:color w:val="auto"/>
          <w:sz w:val="24"/>
          <w:szCs w:val="24"/>
          <w:highlight w:val="none"/>
        </w:rPr>
        <w:fldChar w:fldCharType="end"/>
      </w:r>
    </w:p>
    <w:p w14:paraId="35943E6A">
      <w:pPr>
        <w:pStyle w:val="34"/>
        <w:tabs>
          <w:tab w:val="right" w:leader="dot" w:pos="8306"/>
        </w:tabs>
        <w:rPr>
          <w:rFonts w:hint="eastAsia" w:ascii="仿宋" w:hAnsi="仿宋" w:eastAsia="仿宋" w:cs="仿宋"/>
          <w:i w:val="0"/>
          <w:iCs w:val="0"/>
          <w:sz w:val="24"/>
          <w:szCs w:val="24"/>
        </w:rPr>
      </w:pPr>
      <w:r>
        <w:rPr>
          <w:rFonts w:hint="eastAsia" w:ascii="仿宋" w:hAnsi="仿宋" w:eastAsia="仿宋" w:cs="仿宋"/>
          <w:i w:val="0"/>
          <w:iCs w:val="0"/>
          <w:color w:val="auto"/>
          <w:sz w:val="24"/>
          <w:szCs w:val="24"/>
          <w:highlight w:val="none"/>
        </w:rPr>
        <w:fldChar w:fldCharType="begin"/>
      </w:r>
      <w:r>
        <w:rPr>
          <w:rFonts w:hint="eastAsia" w:ascii="仿宋" w:hAnsi="仿宋" w:eastAsia="仿宋" w:cs="仿宋"/>
          <w:i w:val="0"/>
          <w:iCs w:val="0"/>
          <w:sz w:val="24"/>
          <w:szCs w:val="24"/>
          <w:highlight w:val="none"/>
        </w:rPr>
        <w:instrText xml:space="preserve"> HYPERLINK \l _Toc30126 </w:instrText>
      </w:r>
      <w:r>
        <w:rPr>
          <w:rFonts w:hint="eastAsia" w:ascii="仿宋" w:hAnsi="仿宋" w:eastAsia="仿宋" w:cs="仿宋"/>
          <w:i w:val="0"/>
          <w:iCs w:val="0"/>
          <w:sz w:val="24"/>
          <w:szCs w:val="24"/>
          <w:highlight w:val="none"/>
        </w:rPr>
        <w:fldChar w:fldCharType="separate"/>
      </w:r>
      <w:r>
        <w:rPr>
          <w:rFonts w:hint="eastAsia" w:ascii="仿宋" w:hAnsi="仿宋" w:eastAsia="仿宋" w:cs="仿宋"/>
          <w:i w:val="0"/>
          <w:iCs w:val="0"/>
          <w:sz w:val="24"/>
          <w:szCs w:val="24"/>
          <w:highlight w:val="none"/>
        </w:rPr>
        <w:t>第八章  公开招标失败的后续处理</w:t>
      </w:r>
      <w:r>
        <w:rPr>
          <w:rFonts w:hint="eastAsia" w:ascii="仿宋" w:hAnsi="仿宋" w:eastAsia="仿宋" w:cs="仿宋"/>
          <w:i w:val="0"/>
          <w:iCs w:val="0"/>
          <w:sz w:val="24"/>
          <w:szCs w:val="24"/>
        </w:rPr>
        <w:tab/>
      </w:r>
      <w:r>
        <w:rPr>
          <w:rFonts w:hint="eastAsia" w:ascii="仿宋" w:hAnsi="仿宋" w:eastAsia="仿宋" w:cs="仿宋"/>
          <w:i w:val="0"/>
          <w:iCs w:val="0"/>
          <w:sz w:val="24"/>
          <w:szCs w:val="24"/>
        </w:rPr>
        <w:fldChar w:fldCharType="begin"/>
      </w:r>
      <w:r>
        <w:rPr>
          <w:rFonts w:hint="eastAsia" w:ascii="仿宋" w:hAnsi="仿宋" w:eastAsia="仿宋" w:cs="仿宋"/>
          <w:i w:val="0"/>
          <w:iCs w:val="0"/>
          <w:sz w:val="24"/>
          <w:szCs w:val="24"/>
        </w:rPr>
        <w:instrText xml:space="preserve"> PAGEREF _Toc30126 \h </w:instrText>
      </w:r>
      <w:r>
        <w:rPr>
          <w:rFonts w:hint="eastAsia" w:ascii="仿宋" w:hAnsi="仿宋" w:eastAsia="仿宋" w:cs="仿宋"/>
          <w:i w:val="0"/>
          <w:iCs w:val="0"/>
          <w:sz w:val="24"/>
          <w:szCs w:val="24"/>
        </w:rPr>
        <w:fldChar w:fldCharType="separate"/>
      </w:r>
      <w:r>
        <w:rPr>
          <w:rFonts w:hint="eastAsia" w:ascii="仿宋" w:hAnsi="仿宋" w:eastAsia="仿宋" w:cs="仿宋"/>
          <w:i w:val="0"/>
          <w:iCs w:val="0"/>
          <w:sz w:val="24"/>
          <w:szCs w:val="24"/>
        </w:rPr>
        <w:t>18</w:t>
      </w:r>
      <w:r>
        <w:rPr>
          <w:rFonts w:hint="eastAsia" w:ascii="仿宋" w:hAnsi="仿宋" w:eastAsia="仿宋" w:cs="仿宋"/>
          <w:i w:val="0"/>
          <w:iCs w:val="0"/>
          <w:sz w:val="24"/>
          <w:szCs w:val="24"/>
        </w:rPr>
        <w:fldChar w:fldCharType="end"/>
      </w:r>
      <w:r>
        <w:rPr>
          <w:rFonts w:hint="eastAsia" w:ascii="仿宋" w:hAnsi="仿宋" w:eastAsia="仿宋" w:cs="仿宋"/>
          <w:i w:val="0"/>
          <w:iCs w:val="0"/>
          <w:color w:val="auto"/>
          <w:sz w:val="24"/>
          <w:szCs w:val="24"/>
          <w:highlight w:val="none"/>
        </w:rPr>
        <w:fldChar w:fldCharType="end"/>
      </w:r>
    </w:p>
    <w:p w14:paraId="07CE303E">
      <w:pPr>
        <w:pStyle w:val="34"/>
        <w:tabs>
          <w:tab w:val="right" w:leader="dot" w:pos="8306"/>
        </w:tabs>
        <w:rPr>
          <w:rFonts w:hint="eastAsia" w:ascii="仿宋" w:hAnsi="仿宋" w:eastAsia="仿宋" w:cs="仿宋"/>
          <w:i w:val="0"/>
          <w:iCs w:val="0"/>
          <w:sz w:val="24"/>
          <w:szCs w:val="24"/>
        </w:rPr>
      </w:pPr>
      <w:r>
        <w:rPr>
          <w:rFonts w:hint="eastAsia" w:ascii="仿宋" w:hAnsi="仿宋" w:eastAsia="仿宋" w:cs="仿宋"/>
          <w:i w:val="0"/>
          <w:iCs w:val="0"/>
          <w:color w:val="auto"/>
          <w:sz w:val="24"/>
          <w:szCs w:val="24"/>
          <w:highlight w:val="none"/>
        </w:rPr>
        <w:fldChar w:fldCharType="begin"/>
      </w:r>
      <w:r>
        <w:rPr>
          <w:rFonts w:hint="eastAsia" w:ascii="仿宋" w:hAnsi="仿宋" w:eastAsia="仿宋" w:cs="仿宋"/>
          <w:i w:val="0"/>
          <w:iCs w:val="0"/>
          <w:sz w:val="24"/>
          <w:szCs w:val="24"/>
          <w:highlight w:val="none"/>
        </w:rPr>
        <w:instrText xml:space="preserve"> HYPERLINK \l _Toc1569 </w:instrText>
      </w:r>
      <w:r>
        <w:rPr>
          <w:rFonts w:hint="eastAsia" w:ascii="仿宋" w:hAnsi="仿宋" w:eastAsia="仿宋" w:cs="仿宋"/>
          <w:i w:val="0"/>
          <w:iCs w:val="0"/>
          <w:sz w:val="24"/>
          <w:szCs w:val="24"/>
          <w:highlight w:val="none"/>
        </w:rPr>
        <w:fldChar w:fldCharType="separate"/>
      </w:r>
      <w:r>
        <w:rPr>
          <w:rFonts w:hint="eastAsia" w:ascii="仿宋" w:hAnsi="仿宋" w:eastAsia="仿宋" w:cs="仿宋"/>
          <w:i w:val="0"/>
          <w:iCs w:val="0"/>
          <w:sz w:val="24"/>
          <w:szCs w:val="24"/>
          <w:highlight w:val="none"/>
        </w:rPr>
        <w:t>第九章  合同的授予</w:t>
      </w:r>
      <w:r>
        <w:rPr>
          <w:rFonts w:hint="eastAsia" w:ascii="仿宋" w:hAnsi="仿宋" w:eastAsia="仿宋" w:cs="仿宋"/>
          <w:i w:val="0"/>
          <w:iCs w:val="0"/>
          <w:sz w:val="24"/>
          <w:szCs w:val="24"/>
        </w:rPr>
        <w:tab/>
      </w:r>
      <w:r>
        <w:rPr>
          <w:rFonts w:hint="eastAsia" w:ascii="仿宋" w:hAnsi="仿宋" w:eastAsia="仿宋" w:cs="仿宋"/>
          <w:i w:val="0"/>
          <w:iCs w:val="0"/>
          <w:sz w:val="24"/>
          <w:szCs w:val="24"/>
        </w:rPr>
        <w:fldChar w:fldCharType="begin"/>
      </w:r>
      <w:r>
        <w:rPr>
          <w:rFonts w:hint="eastAsia" w:ascii="仿宋" w:hAnsi="仿宋" w:eastAsia="仿宋" w:cs="仿宋"/>
          <w:i w:val="0"/>
          <w:iCs w:val="0"/>
          <w:sz w:val="24"/>
          <w:szCs w:val="24"/>
        </w:rPr>
        <w:instrText xml:space="preserve"> PAGEREF _Toc1569 \h </w:instrText>
      </w:r>
      <w:r>
        <w:rPr>
          <w:rFonts w:hint="eastAsia" w:ascii="仿宋" w:hAnsi="仿宋" w:eastAsia="仿宋" w:cs="仿宋"/>
          <w:i w:val="0"/>
          <w:iCs w:val="0"/>
          <w:sz w:val="24"/>
          <w:szCs w:val="24"/>
        </w:rPr>
        <w:fldChar w:fldCharType="separate"/>
      </w:r>
      <w:r>
        <w:rPr>
          <w:rFonts w:hint="eastAsia" w:ascii="仿宋" w:hAnsi="仿宋" w:eastAsia="仿宋" w:cs="仿宋"/>
          <w:i w:val="0"/>
          <w:iCs w:val="0"/>
          <w:sz w:val="24"/>
          <w:szCs w:val="24"/>
        </w:rPr>
        <w:t>18</w:t>
      </w:r>
      <w:r>
        <w:rPr>
          <w:rFonts w:hint="eastAsia" w:ascii="仿宋" w:hAnsi="仿宋" w:eastAsia="仿宋" w:cs="仿宋"/>
          <w:i w:val="0"/>
          <w:iCs w:val="0"/>
          <w:sz w:val="24"/>
          <w:szCs w:val="24"/>
        </w:rPr>
        <w:fldChar w:fldCharType="end"/>
      </w:r>
      <w:r>
        <w:rPr>
          <w:rFonts w:hint="eastAsia" w:ascii="仿宋" w:hAnsi="仿宋" w:eastAsia="仿宋" w:cs="仿宋"/>
          <w:i w:val="0"/>
          <w:iCs w:val="0"/>
          <w:color w:val="auto"/>
          <w:sz w:val="24"/>
          <w:szCs w:val="24"/>
          <w:highlight w:val="none"/>
        </w:rPr>
        <w:fldChar w:fldCharType="end"/>
      </w:r>
    </w:p>
    <w:p w14:paraId="10DBA2CA">
      <w:pPr>
        <w:pStyle w:val="30"/>
        <w:tabs>
          <w:tab w:val="right" w:leader="dot" w:pos="8306"/>
        </w:tabs>
        <w:rPr>
          <w:rFonts w:hint="eastAsia" w:ascii="仿宋" w:hAnsi="仿宋" w:eastAsia="仿宋" w:cs="仿宋"/>
          <w:i w:val="0"/>
          <w:iCs w:val="0"/>
          <w:sz w:val="24"/>
          <w:szCs w:val="24"/>
        </w:rPr>
      </w:pPr>
      <w:r>
        <w:rPr>
          <w:rFonts w:hint="eastAsia" w:ascii="仿宋" w:hAnsi="仿宋" w:eastAsia="仿宋" w:cs="仿宋"/>
          <w:i w:val="0"/>
          <w:iCs w:val="0"/>
          <w:color w:val="auto"/>
          <w:sz w:val="24"/>
          <w:szCs w:val="24"/>
          <w:highlight w:val="none"/>
        </w:rPr>
        <w:fldChar w:fldCharType="begin"/>
      </w:r>
      <w:r>
        <w:rPr>
          <w:rFonts w:hint="eastAsia" w:ascii="仿宋" w:hAnsi="仿宋" w:eastAsia="仿宋" w:cs="仿宋"/>
          <w:i w:val="0"/>
          <w:iCs w:val="0"/>
          <w:sz w:val="24"/>
          <w:szCs w:val="24"/>
          <w:highlight w:val="none"/>
        </w:rPr>
        <w:instrText xml:space="preserve"> HYPERLINK \l _Toc31111 </w:instrText>
      </w:r>
      <w:r>
        <w:rPr>
          <w:rFonts w:hint="eastAsia" w:ascii="仿宋" w:hAnsi="仿宋" w:eastAsia="仿宋" w:cs="仿宋"/>
          <w:i w:val="0"/>
          <w:iCs w:val="0"/>
          <w:sz w:val="24"/>
          <w:szCs w:val="24"/>
          <w:highlight w:val="none"/>
        </w:rPr>
        <w:fldChar w:fldCharType="separate"/>
      </w:r>
      <w:r>
        <w:rPr>
          <w:rFonts w:hint="eastAsia" w:ascii="仿宋" w:hAnsi="仿宋" w:eastAsia="仿宋" w:cs="仿宋"/>
          <w:i w:val="0"/>
          <w:iCs w:val="0"/>
          <w:sz w:val="24"/>
          <w:szCs w:val="24"/>
          <w:highlight w:val="none"/>
        </w:rPr>
        <w:t>第二册 专用条款</w:t>
      </w:r>
      <w:r>
        <w:rPr>
          <w:rFonts w:hint="eastAsia" w:ascii="仿宋" w:hAnsi="仿宋" w:eastAsia="仿宋" w:cs="仿宋"/>
          <w:i w:val="0"/>
          <w:iCs w:val="0"/>
          <w:sz w:val="24"/>
          <w:szCs w:val="24"/>
        </w:rPr>
        <w:tab/>
      </w:r>
      <w:r>
        <w:rPr>
          <w:rFonts w:hint="eastAsia" w:ascii="仿宋" w:hAnsi="仿宋" w:eastAsia="仿宋" w:cs="仿宋"/>
          <w:i w:val="0"/>
          <w:iCs w:val="0"/>
          <w:sz w:val="24"/>
          <w:szCs w:val="24"/>
        </w:rPr>
        <w:fldChar w:fldCharType="begin"/>
      </w:r>
      <w:r>
        <w:rPr>
          <w:rFonts w:hint="eastAsia" w:ascii="仿宋" w:hAnsi="仿宋" w:eastAsia="仿宋" w:cs="仿宋"/>
          <w:i w:val="0"/>
          <w:iCs w:val="0"/>
          <w:sz w:val="24"/>
          <w:szCs w:val="24"/>
        </w:rPr>
        <w:instrText xml:space="preserve"> PAGEREF _Toc31111 \h </w:instrText>
      </w:r>
      <w:r>
        <w:rPr>
          <w:rFonts w:hint="eastAsia" w:ascii="仿宋" w:hAnsi="仿宋" w:eastAsia="仿宋" w:cs="仿宋"/>
          <w:i w:val="0"/>
          <w:iCs w:val="0"/>
          <w:sz w:val="24"/>
          <w:szCs w:val="24"/>
        </w:rPr>
        <w:fldChar w:fldCharType="separate"/>
      </w:r>
      <w:r>
        <w:rPr>
          <w:rFonts w:hint="eastAsia" w:ascii="仿宋" w:hAnsi="仿宋" w:eastAsia="仿宋" w:cs="仿宋"/>
          <w:i w:val="0"/>
          <w:iCs w:val="0"/>
          <w:sz w:val="24"/>
          <w:szCs w:val="24"/>
        </w:rPr>
        <w:t>21</w:t>
      </w:r>
      <w:r>
        <w:rPr>
          <w:rFonts w:hint="eastAsia" w:ascii="仿宋" w:hAnsi="仿宋" w:eastAsia="仿宋" w:cs="仿宋"/>
          <w:i w:val="0"/>
          <w:iCs w:val="0"/>
          <w:sz w:val="24"/>
          <w:szCs w:val="24"/>
        </w:rPr>
        <w:fldChar w:fldCharType="end"/>
      </w:r>
      <w:r>
        <w:rPr>
          <w:rFonts w:hint="eastAsia" w:ascii="仿宋" w:hAnsi="仿宋" w:eastAsia="仿宋" w:cs="仿宋"/>
          <w:i w:val="0"/>
          <w:iCs w:val="0"/>
          <w:color w:val="auto"/>
          <w:sz w:val="24"/>
          <w:szCs w:val="24"/>
          <w:highlight w:val="none"/>
        </w:rPr>
        <w:fldChar w:fldCharType="end"/>
      </w:r>
    </w:p>
    <w:p w14:paraId="21FB546B">
      <w:pPr>
        <w:pStyle w:val="34"/>
        <w:tabs>
          <w:tab w:val="right" w:leader="dot" w:pos="8306"/>
        </w:tabs>
        <w:rPr>
          <w:rFonts w:hint="eastAsia" w:ascii="仿宋" w:hAnsi="仿宋" w:eastAsia="仿宋" w:cs="仿宋"/>
          <w:i w:val="0"/>
          <w:iCs w:val="0"/>
          <w:sz w:val="24"/>
          <w:szCs w:val="24"/>
        </w:rPr>
      </w:pPr>
      <w:r>
        <w:rPr>
          <w:rFonts w:hint="eastAsia" w:ascii="仿宋" w:hAnsi="仿宋" w:eastAsia="仿宋" w:cs="仿宋"/>
          <w:i w:val="0"/>
          <w:iCs w:val="0"/>
          <w:color w:val="auto"/>
          <w:sz w:val="24"/>
          <w:szCs w:val="24"/>
          <w:highlight w:val="none"/>
        </w:rPr>
        <w:fldChar w:fldCharType="begin"/>
      </w:r>
      <w:r>
        <w:rPr>
          <w:rFonts w:hint="eastAsia" w:ascii="仿宋" w:hAnsi="仿宋" w:eastAsia="仿宋" w:cs="仿宋"/>
          <w:i w:val="0"/>
          <w:iCs w:val="0"/>
          <w:sz w:val="24"/>
          <w:szCs w:val="24"/>
          <w:highlight w:val="none"/>
        </w:rPr>
        <w:instrText xml:space="preserve"> HYPERLINK \l _Toc4548 </w:instrText>
      </w:r>
      <w:r>
        <w:rPr>
          <w:rFonts w:hint="eastAsia" w:ascii="仿宋" w:hAnsi="仿宋" w:eastAsia="仿宋" w:cs="仿宋"/>
          <w:i w:val="0"/>
          <w:iCs w:val="0"/>
          <w:sz w:val="24"/>
          <w:szCs w:val="24"/>
          <w:highlight w:val="none"/>
        </w:rPr>
        <w:fldChar w:fldCharType="separate"/>
      </w:r>
      <w:r>
        <w:rPr>
          <w:rFonts w:hint="eastAsia" w:ascii="仿宋" w:hAnsi="仿宋" w:eastAsia="仿宋" w:cs="仿宋"/>
          <w:bCs/>
          <w:i w:val="0"/>
          <w:iCs w:val="0"/>
          <w:sz w:val="24"/>
          <w:szCs w:val="24"/>
          <w:highlight w:val="none"/>
        </w:rPr>
        <w:t>第一章  招标公告</w:t>
      </w:r>
      <w:r>
        <w:rPr>
          <w:rFonts w:hint="eastAsia" w:ascii="仿宋" w:hAnsi="仿宋" w:eastAsia="仿宋" w:cs="仿宋"/>
          <w:i w:val="0"/>
          <w:iCs w:val="0"/>
          <w:sz w:val="24"/>
          <w:szCs w:val="24"/>
        </w:rPr>
        <w:tab/>
      </w:r>
      <w:r>
        <w:rPr>
          <w:rFonts w:hint="eastAsia" w:ascii="仿宋" w:hAnsi="仿宋" w:eastAsia="仿宋" w:cs="仿宋"/>
          <w:i w:val="0"/>
          <w:iCs w:val="0"/>
          <w:sz w:val="24"/>
          <w:szCs w:val="24"/>
        </w:rPr>
        <w:fldChar w:fldCharType="begin"/>
      </w:r>
      <w:r>
        <w:rPr>
          <w:rFonts w:hint="eastAsia" w:ascii="仿宋" w:hAnsi="仿宋" w:eastAsia="仿宋" w:cs="仿宋"/>
          <w:i w:val="0"/>
          <w:iCs w:val="0"/>
          <w:sz w:val="24"/>
          <w:szCs w:val="24"/>
        </w:rPr>
        <w:instrText xml:space="preserve"> PAGEREF _Toc4548 \h </w:instrText>
      </w:r>
      <w:r>
        <w:rPr>
          <w:rFonts w:hint="eastAsia" w:ascii="仿宋" w:hAnsi="仿宋" w:eastAsia="仿宋" w:cs="仿宋"/>
          <w:i w:val="0"/>
          <w:iCs w:val="0"/>
          <w:sz w:val="24"/>
          <w:szCs w:val="24"/>
        </w:rPr>
        <w:fldChar w:fldCharType="separate"/>
      </w:r>
      <w:r>
        <w:rPr>
          <w:rFonts w:hint="eastAsia" w:ascii="仿宋" w:hAnsi="仿宋" w:eastAsia="仿宋" w:cs="仿宋"/>
          <w:i w:val="0"/>
          <w:iCs w:val="0"/>
          <w:sz w:val="24"/>
          <w:szCs w:val="24"/>
        </w:rPr>
        <w:t>22</w:t>
      </w:r>
      <w:r>
        <w:rPr>
          <w:rFonts w:hint="eastAsia" w:ascii="仿宋" w:hAnsi="仿宋" w:eastAsia="仿宋" w:cs="仿宋"/>
          <w:i w:val="0"/>
          <w:iCs w:val="0"/>
          <w:sz w:val="24"/>
          <w:szCs w:val="24"/>
        </w:rPr>
        <w:fldChar w:fldCharType="end"/>
      </w:r>
      <w:r>
        <w:rPr>
          <w:rFonts w:hint="eastAsia" w:ascii="仿宋" w:hAnsi="仿宋" w:eastAsia="仿宋" w:cs="仿宋"/>
          <w:i w:val="0"/>
          <w:iCs w:val="0"/>
          <w:color w:val="auto"/>
          <w:sz w:val="24"/>
          <w:szCs w:val="24"/>
          <w:highlight w:val="none"/>
        </w:rPr>
        <w:fldChar w:fldCharType="end"/>
      </w:r>
    </w:p>
    <w:p w14:paraId="16084542">
      <w:pPr>
        <w:pStyle w:val="34"/>
        <w:tabs>
          <w:tab w:val="right" w:leader="dot" w:pos="8306"/>
        </w:tabs>
        <w:rPr>
          <w:rFonts w:hint="eastAsia" w:ascii="仿宋" w:hAnsi="仿宋" w:eastAsia="仿宋" w:cs="仿宋"/>
          <w:i w:val="0"/>
          <w:iCs w:val="0"/>
          <w:sz w:val="24"/>
          <w:szCs w:val="24"/>
        </w:rPr>
      </w:pPr>
      <w:r>
        <w:rPr>
          <w:rFonts w:hint="eastAsia" w:ascii="仿宋" w:hAnsi="仿宋" w:eastAsia="仿宋" w:cs="仿宋"/>
          <w:i w:val="0"/>
          <w:iCs w:val="0"/>
          <w:color w:val="auto"/>
          <w:sz w:val="24"/>
          <w:szCs w:val="24"/>
          <w:highlight w:val="none"/>
        </w:rPr>
        <w:fldChar w:fldCharType="begin"/>
      </w:r>
      <w:r>
        <w:rPr>
          <w:rFonts w:hint="eastAsia" w:ascii="仿宋" w:hAnsi="仿宋" w:eastAsia="仿宋" w:cs="仿宋"/>
          <w:i w:val="0"/>
          <w:iCs w:val="0"/>
          <w:sz w:val="24"/>
          <w:szCs w:val="24"/>
          <w:highlight w:val="none"/>
        </w:rPr>
        <w:instrText xml:space="preserve"> HYPERLINK \l _Toc4017 </w:instrText>
      </w:r>
      <w:r>
        <w:rPr>
          <w:rFonts w:hint="eastAsia" w:ascii="仿宋" w:hAnsi="仿宋" w:eastAsia="仿宋" w:cs="仿宋"/>
          <w:i w:val="0"/>
          <w:iCs w:val="0"/>
          <w:sz w:val="24"/>
          <w:szCs w:val="24"/>
          <w:highlight w:val="none"/>
        </w:rPr>
        <w:fldChar w:fldCharType="separate"/>
      </w:r>
      <w:r>
        <w:rPr>
          <w:rFonts w:hint="eastAsia" w:ascii="仿宋" w:hAnsi="仿宋" w:eastAsia="仿宋" w:cs="仿宋"/>
          <w:bCs/>
          <w:i w:val="0"/>
          <w:iCs w:val="0"/>
          <w:sz w:val="24"/>
          <w:szCs w:val="24"/>
          <w:highlight w:val="none"/>
        </w:rPr>
        <w:t>第二章  关键信息</w:t>
      </w:r>
      <w:r>
        <w:rPr>
          <w:rFonts w:hint="eastAsia" w:ascii="仿宋" w:hAnsi="仿宋" w:eastAsia="仿宋" w:cs="仿宋"/>
          <w:i w:val="0"/>
          <w:iCs w:val="0"/>
          <w:sz w:val="24"/>
          <w:szCs w:val="24"/>
        </w:rPr>
        <w:tab/>
      </w:r>
      <w:r>
        <w:rPr>
          <w:rFonts w:hint="eastAsia" w:ascii="仿宋" w:hAnsi="仿宋" w:eastAsia="仿宋" w:cs="仿宋"/>
          <w:i w:val="0"/>
          <w:iCs w:val="0"/>
          <w:sz w:val="24"/>
          <w:szCs w:val="24"/>
        </w:rPr>
        <w:fldChar w:fldCharType="begin"/>
      </w:r>
      <w:r>
        <w:rPr>
          <w:rFonts w:hint="eastAsia" w:ascii="仿宋" w:hAnsi="仿宋" w:eastAsia="仿宋" w:cs="仿宋"/>
          <w:i w:val="0"/>
          <w:iCs w:val="0"/>
          <w:sz w:val="24"/>
          <w:szCs w:val="24"/>
        </w:rPr>
        <w:instrText xml:space="preserve"> PAGEREF _Toc4017 \h </w:instrText>
      </w:r>
      <w:r>
        <w:rPr>
          <w:rFonts w:hint="eastAsia" w:ascii="仿宋" w:hAnsi="仿宋" w:eastAsia="仿宋" w:cs="仿宋"/>
          <w:i w:val="0"/>
          <w:iCs w:val="0"/>
          <w:sz w:val="24"/>
          <w:szCs w:val="24"/>
        </w:rPr>
        <w:fldChar w:fldCharType="separate"/>
      </w:r>
      <w:r>
        <w:rPr>
          <w:rFonts w:hint="eastAsia" w:ascii="仿宋" w:hAnsi="仿宋" w:eastAsia="仿宋" w:cs="仿宋"/>
          <w:i w:val="0"/>
          <w:iCs w:val="0"/>
          <w:sz w:val="24"/>
          <w:szCs w:val="24"/>
        </w:rPr>
        <w:t>25</w:t>
      </w:r>
      <w:r>
        <w:rPr>
          <w:rFonts w:hint="eastAsia" w:ascii="仿宋" w:hAnsi="仿宋" w:eastAsia="仿宋" w:cs="仿宋"/>
          <w:i w:val="0"/>
          <w:iCs w:val="0"/>
          <w:sz w:val="24"/>
          <w:szCs w:val="24"/>
        </w:rPr>
        <w:fldChar w:fldCharType="end"/>
      </w:r>
      <w:r>
        <w:rPr>
          <w:rFonts w:hint="eastAsia" w:ascii="仿宋" w:hAnsi="仿宋" w:eastAsia="仿宋" w:cs="仿宋"/>
          <w:i w:val="0"/>
          <w:iCs w:val="0"/>
          <w:color w:val="auto"/>
          <w:sz w:val="24"/>
          <w:szCs w:val="24"/>
          <w:highlight w:val="none"/>
        </w:rPr>
        <w:fldChar w:fldCharType="end"/>
      </w:r>
    </w:p>
    <w:p w14:paraId="403EAB56">
      <w:pPr>
        <w:pStyle w:val="21"/>
        <w:tabs>
          <w:tab w:val="right" w:leader="dot" w:pos="8306"/>
        </w:tabs>
        <w:rPr>
          <w:rFonts w:hint="eastAsia" w:ascii="仿宋" w:hAnsi="仿宋" w:eastAsia="仿宋" w:cs="仿宋"/>
          <w:i w:val="0"/>
          <w:iCs w:val="0"/>
          <w:sz w:val="24"/>
          <w:szCs w:val="24"/>
        </w:rPr>
      </w:pPr>
      <w:r>
        <w:rPr>
          <w:rFonts w:hint="eastAsia" w:ascii="仿宋" w:hAnsi="仿宋" w:eastAsia="仿宋" w:cs="仿宋"/>
          <w:i w:val="0"/>
          <w:iCs w:val="0"/>
          <w:color w:val="auto"/>
          <w:sz w:val="24"/>
          <w:szCs w:val="24"/>
          <w:highlight w:val="none"/>
        </w:rPr>
        <w:fldChar w:fldCharType="begin"/>
      </w:r>
      <w:r>
        <w:rPr>
          <w:rFonts w:hint="eastAsia" w:ascii="仿宋" w:hAnsi="仿宋" w:eastAsia="仿宋" w:cs="仿宋"/>
          <w:i w:val="0"/>
          <w:iCs w:val="0"/>
          <w:sz w:val="24"/>
          <w:szCs w:val="24"/>
          <w:highlight w:val="none"/>
        </w:rPr>
        <w:instrText xml:space="preserve"> HYPERLINK \l _Toc10286 </w:instrText>
      </w:r>
      <w:r>
        <w:rPr>
          <w:rFonts w:hint="eastAsia" w:ascii="仿宋" w:hAnsi="仿宋" w:eastAsia="仿宋" w:cs="仿宋"/>
          <w:i w:val="0"/>
          <w:iCs w:val="0"/>
          <w:sz w:val="24"/>
          <w:szCs w:val="24"/>
          <w:highlight w:val="none"/>
        </w:rPr>
        <w:fldChar w:fldCharType="separate"/>
      </w:r>
      <w:r>
        <w:rPr>
          <w:rFonts w:hint="eastAsia" w:ascii="仿宋" w:hAnsi="仿宋" w:eastAsia="仿宋" w:cs="仿宋"/>
          <w:bCs/>
          <w:i w:val="0"/>
          <w:iCs w:val="0"/>
          <w:sz w:val="24"/>
          <w:szCs w:val="24"/>
          <w:highlight w:val="none"/>
        </w:rPr>
        <w:t>表一、投标须知前附表</w:t>
      </w:r>
      <w:r>
        <w:rPr>
          <w:rFonts w:hint="eastAsia" w:ascii="仿宋" w:hAnsi="仿宋" w:eastAsia="仿宋" w:cs="仿宋"/>
          <w:i w:val="0"/>
          <w:iCs w:val="0"/>
          <w:sz w:val="24"/>
          <w:szCs w:val="24"/>
        </w:rPr>
        <w:tab/>
      </w:r>
      <w:r>
        <w:rPr>
          <w:rFonts w:hint="eastAsia" w:ascii="仿宋" w:hAnsi="仿宋" w:eastAsia="仿宋" w:cs="仿宋"/>
          <w:i w:val="0"/>
          <w:iCs w:val="0"/>
          <w:sz w:val="24"/>
          <w:szCs w:val="24"/>
        </w:rPr>
        <w:fldChar w:fldCharType="begin"/>
      </w:r>
      <w:r>
        <w:rPr>
          <w:rFonts w:hint="eastAsia" w:ascii="仿宋" w:hAnsi="仿宋" w:eastAsia="仿宋" w:cs="仿宋"/>
          <w:i w:val="0"/>
          <w:iCs w:val="0"/>
          <w:sz w:val="24"/>
          <w:szCs w:val="24"/>
        </w:rPr>
        <w:instrText xml:space="preserve"> PAGEREF _Toc10286 \h </w:instrText>
      </w:r>
      <w:r>
        <w:rPr>
          <w:rFonts w:hint="eastAsia" w:ascii="仿宋" w:hAnsi="仿宋" w:eastAsia="仿宋" w:cs="仿宋"/>
          <w:i w:val="0"/>
          <w:iCs w:val="0"/>
          <w:sz w:val="24"/>
          <w:szCs w:val="24"/>
        </w:rPr>
        <w:fldChar w:fldCharType="separate"/>
      </w:r>
      <w:r>
        <w:rPr>
          <w:rFonts w:hint="eastAsia" w:ascii="仿宋" w:hAnsi="仿宋" w:eastAsia="仿宋" w:cs="仿宋"/>
          <w:i w:val="0"/>
          <w:iCs w:val="0"/>
          <w:sz w:val="24"/>
          <w:szCs w:val="24"/>
        </w:rPr>
        <w:t>25</w:t>
      </w:r>
      <w:r>
        <w:rPr>
          <w:rFonts w:hint="eastAsia" w:ascii="仿宋" w:hAnsi="仿宋" w:eastAsia="仿宋" w:cs="仿宋"/>
          <w:i w:val="0"/>
          <w:iCs w:val="0"/>
          <w:sz w:val="24"/>
          <w:szCs w:val="24"/>
        </w:rPr>
        <w:fldChar w:fldCharType="end"/>
      </w:r>
      <w:r>
        <w:rPr>
          <w:rFonts w:hint="eastAsia" w:ascii="仿宋" w:hAnsi="仿宋" w:eastAsia="仿宋" w:cs="仿宋"/>
          <w:i w:val="0"/>
          <w:iCs w:val="0"/>
          <w:color w:val="auto"/>
          <w:sz w:val="24"/>
          <w:szCs w:val="24"/>
          <w:highlight w:val="none"/>
        </w:rPr>
        <w:fldChar w:fldCharType="end"/>
      </w:r>
    </w:p>
    <w:p w14:paraId="169C783F">
      <w:pPr>
        <w:pStyle w:val="21"/>
        <w:tabs>
          <w:tab w:val="right" w:leader="dot" w:pos="8306"/>
        </w:tabs>
        <w:rPr>
          <w:rFonts w:hint="eastAsia" w:ascii="仿宋" w:hAnsi="仿宋" w:eastAsia="仿宋" w:cs="仿宋"/>
          <w:i w:val="0"/>
          <w:iCs w:val="0"/>
          <w:sz w:val="24"/>
          <w:szCs w:val="24"/>
        </w:rPr>
      </w:pPr>
      <w:r>
        <w:rPr>
          <w:rFonts w:hint="eastAsia" w:ascii="仿宋" w:hAnsi="仿宋" w:eastAsia="仿宋" w:cs="仿宋"/>
          <w:i w:val="0"/>
          <w:iCs w:val="0"/>
          <w:color w:val="auto"/>
          <w:sz w:val="24"/>
          <w:szCs w:val="24"/>
          <w:highlight w:val="none"/>
        </w:rPr>
        <w:fldChar w:fldCharType="begin"/>
      </w:r>
      <w:r>
        <w:rPr>
          <w:rFonts w:hint="eastAsia" w:ascii="仿宋" w:hAnsi="仿宋" w:eastAsia="仿宋" w:cs="仿宋"/>
          <w:i w:val="0"/>
          <w:iCs w:val="0"/>
          <w:sz w:val="24"/>
          <w:szCs w:val="24"/>
          <w:highlight w:val="none"/>
        </w:rPr>
        <w:instrText xml:space="preserve"> HYPERLINK \l _Toc13657 </w:instrText>
      </w:r>
      <w:r>
        <w:rPr>
          <w:rFonts w:hint="eastAsia" w:ascii="仿宋" w:hAnsi="仿宋" w:eastAsia="仿宋" w:cs="仿宋"/>
          <w:i w:val="0"/>
          <w:iCs w:val="0"/>
          <w:sz w:val="24"/>
          <w:szCs w:val="24"/>
          <w:highlight w:val="none"/>
        </w:rPr>
        <w:fldChar w:fldCharType="separate"/>
      </w:r>
      <w:r>
        <w:rPr>
          <w:rFonts w:hint="eastAsia" w:ascii="仿宋" w:hAnsi="仿宋" w:eastAsia="仿宋" w:cs="仿宋"/>
          <w:bCs/>
          <w:i w:val="0"/>
          <w:iCs w:val="0"/>
          <w:sz w:val="24"/>
          <w:szCs w:val="24"/>
          <w:highlight w:val="none"/>
        </w:rPr>
        <w:t>表二、投标文件初审表</w:t>
      </w:r>
      <w:r>
        <w:rPr>
          <w:rFonts w:hint="eastAsia" w:ascii="仿宋" w:hAnsi="仿宋" w:eastAsia="仿宋" w:cs="仿宋"/>
          <w:i w:val="0"/>
          <w:iCs w:val="0"/>
          <w:sz w:val="24"/>
          <w:szCs w:val="24"/>
        </w:rPr>
        <w:tab/>
      </w:r>
      <w:r>
        <w:rPr>
          <w:rFonts w:hint="eastAsia" w:ascii="仿宋" w:hAnsi="仿宋" w:eastAsia="仿宋" w:cs="仿宋"/>
          <w:i w:val="0"/>
          <w:iCs w:val="0"/>
          <w:sz w:val="24"/>
          <w:szCs w:val="24"/>
        </w:rPr>
        <w:fldChar w:fldCharType="begin"/>
      </w:r>
      <w:r>
        <w:rPr>
          <w:rFonts w:hint="eastAsia" w:ascii="仿宋" w:hAnsi="仿宋" w:eastAsia="仿宋" w:cs="仿宋"/>
          <w:i w:val="0"/>
          <w:iCs w:val="0"/>
          <w:sz w:val="24"/>
          <w:szCs w:val="24"/>
        </w:rPr>
        <w:instrText xml:space="preserve"> PAGEREF _Toc13657 \h </w:instrText>
      </w:r>
      <w:r>
        <w:rPr>
          <w:rFonts w:hint="eastAsia" w:ascii="仿宋" w:hAnsi="仿宋" w:eastAsia="仿宋" w:cs="仿宋"/>
          <w:i w:val="0"/>
          <w:iCs w:val="0"/>
          <w:sz w:val="24"/>
          <w:szCs w:val="24"/>
        </w:rPr>
        <w:fldChar w:fldCharType="separate"/>
      </w:r>
      <w:r>
        <w:rPr>
          <w:rFonts w:hint="eastAsia" w:ascii="仿宋" w:hAnsi="仿宋" w:eastAsia="仿宋" w:cs="仿宋"/>
          <w:i w:val="0"/>
          <w:iCs w:val="0"/>
          <w:sz w:val="24"/>
          <w:szCs w:val="24"/>
        </w:rPr>
        <w:t>27</w:t>
      </w:r>
      <w:r>
        <w:rPr>
          <w:rFonts w:hint="eastAsia" w:ascii="仿宋" w:hAnsi="仿宋" w:eastAsia="仿宋" w:cs="仿宋"/>
          <w:i w:val="0"/>
          <w:iCs w:val="0"/>
          <w:sz w:val="24"/>
          <w:szCs w:val="24"/>
        </w:rPr>
        <w:fldChar w:fldCharType="end"/>
      </w:r>
      <w:r>
        <w:rPr>
          <w:rFonts w:hint="eastAsia" w:ascii="仿宋" w:hAnsi="仿宋" w:eastAsia="仿宋" w:cs="仿宋"/>
          <w:i w:val="0"/>
          <w:iCs w:val="0"/>
          <w:color w:val="auto"/>
          <w:sz w:val="24"/>
          <w:szCs w:val="24"/>
          <w:highlight w:val="none"/>
        </w:rPr>
        <w:fldChar w:fldCharType="end"/>
      </w:r>
    </w:p>
    <w:p w14:paraId="37A76DEB">
      <w:pPr>
        <w:pStyle w:val="21"/>
        <w:tabs>
          <w:tab w:val="right" w:leader="dot" w:pos="8306"/>
        </w:tabs>
        <w:rPr>
          <w:rFonts w:hint="eastAsia" w:ascii="仿宋" w:hAnsi="仿宋" w:eastAsia="仿宋" w:cs="仿宋"/>
          <w:i w:val="0"/>
          <w:iCs w:val="0"/>
          <w:sz w:val="24"/>
          <w:szCs w:val="24"/>
        </w:rPr>
      </w:pPr>
      <w:r>
        <w:rPr>
          <w:rFonts w:hint="eastAsia" w:ascii="仿宋" w:hAnsi="仿宋" w:eastAsia="仿宋" w:cs="仿宋"/>
          <w:i w:val="0"/>
          <w:iCs w:val="0"/>
          <w:color w:val="auto"/>
          <w:sz w:val="24"/>
          <w:szCs w:val="24"/>
          <w:highlight w:val="none"/>
        </w:rPr>
        <w:fldChar w:fldCharType="begin"/>
      </w:r>
      <w:r>
        <w:rPr>
          <w:rFonts w:hint="eastAsia" w:ascii="仿宋" w:hAnsi="仿宋" w:eastAsia="仿宋" w:cs="仿宋"/>
          <w:i w:val="0"/>
          <w:iCs w:val="0"/>
          <w:sz w:val="24"/>
          <w:szCs w:val="24"/>
          <w:highlight w:val="none"/>
        </w:rPr>
        <w:instrText xml:space="preserve"> HYPERLINK \l _Toc8609 </w:instrText>
      </w:r>
      <w:r>
        <w:rPr>
          <w:rFonts w:hint="eastAsia" w:ascii="仿宋" w:hAnsi="仿宋" w:eastAsia="仿宋" w:cs="仿宋"/>
          <w:i w:val="0"/>
          <w:iCs w:val="0"/>
          <w:sz w:val="24"/>
          <w:szCs w:val="24"/>
          <w:highlight w:val="none"/>
        </w:rPr>
        <w:fldChar w:fldCharType="separate"/>
      </w:r>
      <w:r>
        <w:rPr>
          <w:rFonts w:hint="eastAsia" w:ascii="仿宋" w:hAnsi="仿宋" w:eastAsia="仿宋" w:cs="仿宋"/>
          <w:bCs/>
          <w:i w:val="0"/>
          <w:iCs w:val="0"/>
          <w:sz w:val="24"/>
          <w:szCs w:val="24"/>
          <w:highlight w:val="none"/>
        </w:rPr>
        <w:t>表三、评标信息</w:t>
      </w:r>
      <w:r>
        <w:rPr>
          <w:rFonts w:hint="eastAsia" w:ascii="仿宋" w:hAnsi="仿宋" w:eastAsia="仿宋" w:cs="仿宋"/>
          <w:i w:val="0"/>
          <w:iCs w:val="0"/>
          <w:sz w:val="24"/>
          <w:szCs w:val="24"/>
        </w:rPr>
        <w:tab/>
      </w:r>
      <w:r>
        <w:rPr>
          <w:rFonts w:hint="eastAsia" w:ascii="仿宋" w:hAnsi="仿宋" w:eastAsia="仿宋" w:cs="仿宋"/>
          <w:i w:val="0"/>
          <w:iCs w:val="0"/>
          <w:sz w:val="24"/>
          <w:szCs w:val="24"/>
        </w:rPr>
        <w:fldChar w:fldCharType="begin"/>
      </w:r>
      <w:r>
        <w:rPr>
          <w:rFonts w:hint="eastAsia" w:ascii="仿宋" w:hAnsi="仿宋" w:eastAsia="仿宋" w:cs="仿宋"/>
          <w:i w:val="0"/>
          <w:iCs w:val="0"/>
          <w:sz w:val="24"/>
          <w:szCs w:val="24"/>
        </w:rPr>
        <w:instrText xml:space="preserve"> PAGEREF _Toc8609 \h </w:instrText>
      </w:r>
      <w:r>
        <w:rPr>
          <w:rFonts w:hint="eastAsia" w:ascii="仿宋" w:hAnsi="仿宋" w:eastAsia="仿宋" w:cs="仿宋"/>
          <w:i w:val="0"/>
          <w:iCs w:val="0"/>
          <w:sz w:val="24"/>
          <w:szCs w:val="24"/>
        </w:rPr>
        <w:fldChar w:fldCharType="separate"/>
      </w:r>
      <w:r>
        <w:rPr>
          <w:rFonts w:hint="eastAsia" w:ascii="仿宋" w:hAnsi="仿宋" w:eastAsia="仿宋" w:cs="仿宋"/>
          <w:i w:val="0"/>
          <w:iCs w:val="0"/>
          <w:sz w:val="24"/>
          <w:szCs w:val="24"/>
        </w:rPr>
        <w:t>28</w:t>
      </w:r>
      <w:r>
        <w:rPr>
          <w:rFonts w:hint="eastAsia" w:ascii="仿宋" w:hAnsi="仿宋" w:eastAsia="仿宋" w:cs="仿宋"/>
          <w:i w:val="0"/>
          <w:iCs w:val="0"/>
          <w:sz w:val="24"/>
          <w:szCs w:val="24"/>
        </w:rPr>
        <w:fldChar w:fldCharType="end"/>
      </w:r>
      <w:r>
        <w:rPr>
          <w:rFonts w:hint="eastAsia" w:ascii="仿宋" w:hAnsi="仿宋" w:eastAsia="仿宋" w:cs="仿宋"/>
          <w:i w:val="0"/>
          <w:iCs w:val="0"/>
          <w:color w:val="auto"/>
          <w:sz w:val="24"/>
          <w:szCs w:val="24"/>
          <w:highlight w:val="none"/>
        </w:rPr>
        <w:fldChar w:fldCharType="end"/>
      </w:r>
    </w:p>
    <w:p w14:paraId="3B8731EE">
      <w:pPr>
        <w:pStyle w:val="34"/>
        <w:tabs>
          <w:tab w:val="right" w:leader="dot" w:pos="8306"/>
        </w:tabs>
        <w:rPr>
          <w:rFonts w:hint="eastAsia" w:ascii="仿宋" w:hAnsi="仿宋" w:eastAsia="仿宋" w:cs="仿宋"/>
          <w:i w:val="0"/>
          <w:iCs w:val="0"/>
          <w:sz w:val="24"/>
          <w:szCs w:val="24"/>
        </w:rPr>
      </w:pPr>
      <w:r>
        <w:rPr>
          <w:rFonts w:hint="eastAsia" w:ascii="仿宋" w:hAnsi="仿宋" w:eastAsia="仿宋" w:cs="仿宋"/>
          <w:i w:val="0"/>
          <w:iCs w:val="0"/>
          <w:color w:val="auto"/>
          <w:sz w:val="24"/>
          <w:szCs w:val="24"/>
          <w:highlight w:val="none"/>
        </w:rPr>
        <w:fldChar w:fldCharType="begin"/>
      </w:r>
      <w:r>
        <w:rPr>
          <w:rFonts w:hint="eastAsia" w:ascii="仿宋" w:hAnsi="仿宋" w:eastAsia="仿宋" w:cs="仿宋"/>
          <w:i w:val="0"/>
          <w:iCs w:val="0"/>
          <w:sz w:val="24"/>
          <w:szCs w:val="24"/>
          <w:highlight w:val="none"/>
        </w:rPr>
        <w:instrText xml:space="preserve"> HYPERLINK \l _Toc6748 </w:instrText>
      </w:r>
      <w:r>
        <w:rPr>
          <w:rFonts w:hint="eastAsia" w:ascii="仿宋" w:hAnsi="仿宋" w:eastAsia="仿宋" w:cs="仿宋"/>
          <w:i w:val="0"/>
          <w:iCs w:val="0"/>
          <w:sz w:val="24"/>
          <w:szCs w:val="24"/>
          <w:highlight w:val="none"/>
        </w:rPr>
        <w:fldChar w:fldCharType="separate"/>
      </w:r>
      <w:r>
        <w:rPr>
          <w:rFonts w:hint="eastAsia" w:ascii="仿宋" w:hAnsi="仿宋" w:eastAsia="仿宋" w:cs="仿宋"/>
          <w:bCs/>
          <w:i w:val="0"/>
          <w:iCs w:val="0"/>
          <w:sz w:val="24"/>
          <w:szCs w:val="24"/>
          <w:highlight w:val="none"/>
        </w:rPr>
        <w:t>第三章  招标项目需求</w:t>
      </w:r>
      <w:r>
        <w:rPr>
          <w:rFonts w:hint="eastAsia" w:ascii="仿宋" w:hAnsi="仿宋" w:eastAsia="仿宋" w:cs="仿宋"/>
          <w:i w:val="0"/>
          <w:iCs w:val="0"/>
          <w:sz w:val="24"/>
          <w:szCs w:val="24"/>
        </w:rPr>
        <w:tab/>
      </w:r>
      <w:r>
        <w:rPr>
          <w:rFonts w:hint="eastAsia" w:ascii="仿宋" w:hAnsi="仿宋" w:eastAsia="仿宋" w:cs="仿宋"/>
          <w:i w:val="0"/>
          <w:iCs w:val="0"/>
          <w:sz w:val="24"/>
          <w:szCs w:val="24"/>
        </w:rPr>
        <w:fldChar w:fldCharType="begin"/>
      </w:r>
      <w:r>
        <w:rPr>
          <w:rFonts w:hint="eastAsia" w:ascii="仿宋" w:hAnsi="仿宋" w:eastAsia="仿宋" w:cs="仿宋"/>
          <w:i w:val="0"/>
          <w:iCs w:val="0"/>
          <w:sz w:val="24"/>
          <w:szCs w:val="24"/>
        </w:rPr>
        <w:instrText xml:space="preserve"> PAGEREF _Toc6748 \h </w:instrText>
      </w:r>
      <w:r>
        <w:rPr>
          <w:rFonts w:hint="eastAsia" w:ascii="仿宋" w:hAnsi="仿宋" w:eastAsia="仿宋" w:cs="仿宋"/>
          <w:i w:val="0"/>
          <w:iCs w:val="0"/>
          <w:sz w:val="24"/>
          <w:szCs w:val="24"/>
        </w:rPr>
        <w:fldChar w:fldCharType="separate"/>
      </w:r>
      <w:r>
        <w:rPr>
          <w:rFonts w:hint="eastAsia" w:ascii="仿宋" w:hAnsi="仿宋" w:eastAsia="仿宋" w:cs="仿宋"/>
          <w:i w:val="0"/>
          <w:iCs w:val="0"/>
          <w:sz w:val="24"/>
          <w:szCs w:val="24"/>
        </w:rPr>
        <w:t>32</w:t>
      </w:r>
      <w:r>
        <w:rPr>
          <w:rFonts w:hint="eastAsia" w:ascii="仿宋" w:hAnsi="仿宋" w:eastAsia="仿宋" w:cs="仿宋"/>
          <w:i w:val="0"/>
          <w:iCs w:val="0"/>
          <w:sz w:val="24"/>
          <w:szCs w:val="24"/>
        </w:rPr>
        <w:fldChar w:fldCharType="end"/>
      </w:r>
      <w:r>
        <w:rPr>
          <w:rFonts w:hint="eastAsia" w:ascii="仿宋" w:hAnsi="仿宋" w:eastAsia="仿宋" w:cs="仿宋"/>
          <w:i w:val="0"/>
          <w:iCs w:val="0"/>
          <w:color w:val="auto"/>
          <w:sz w:val="24"/>
          <w:szCs w:val="24"/>
          <w:highlight w:val="none"/>
        </w:rPr>
        <w:fldChar w:fldCharType="end"/>
      </w:r>
    </w:p>
    <w:p w14:paraId="024D9A45">
      <w:pPr>
        <w:pStyle w:val="21"/>
        <w:tabs>
          <w:tab w:val="right" w:leader="dot" w:pos="8306"/>
        </w:tabs>
        <w:rPr>
          <w:rFonts w:hint="eastAsia" w:ascii="仿宋" w:hAnsi="仿宋" w:eastAsia="仿宋" w:cs="仿宋"/>
          <w:i w:val="0"/>
          <w:iCs w:val="0"/>
          <w:sz w:val="24"/>
          <w:szCs w:val="24"/>
        </w:rPr>
      </w:pPr>
      <w:r>
        <w:rPr>
          <w:rFonts w:hint="eastAsia" w:ascii="仿宋" w:hAnsi="仿宋" w:eastAsia="仿宋" w:cs="仿宋"/>
          <w:i w:val="0"/>
          <w:iCs w:val="0"/>
          <w:color w:val="auto"/>
          <w:sz w:val="24"/>
          <w:szCs w:val="24"/>
          <w:highlight w:val="none"/>
        </w:rPr>
        <w:fldChar w:fldCharType="begin"/>
      </w:r>
      <w:r>
        <w:rPr>
          <w:rFonts w:hint="eastAsia" w:ascii="仿宋" w:hAnsi="仿宋" w:eastAsia="仿宋" w:cs="仿宋"/>
          <w:i w:val="0"/>
          <w:iCs w:val="0"/>
          <w:sz w:val="24"/>
          <w:szCs w:val="24"/>
          <w:highlight w:val="none"/>
        </w:rPr>
        <w:instrText xml:space="preserve"> HYPERLINK \l _Toc19618 </w:instrText>
      </w:r>
      <w:r>
        <w:rPr>
          <w:rFonts w:hint="eastAsia" w:ascii="仿宋" w:hAnsi="仿宋" w:eastAsia="仿宋" w:cs="仿宋"/>
          <w:i w:val="0"/>
          <w:iCs w:val="0"/>
          <w:sz w:val="24"/>
          <w:szCs w:val="24"/>
          <w:highlight w:val="none"/>
        </w:rPr>
        <w:fldChar w:fldCharType="separate"/>
      </w:r>
      <w:r>
        <w:rPr>
          <w:rFonts w:hint="eastAsia" w:ascii="仿宋" w:hAnsi="仿宋" w:eastAsia="仿宋" w:cs="仿宋"/>
          <w:bCs/>
          <w:i w:val="0"/>
          <w:iCs w:val="0"/>
          <w:sz w:val="24"/>
          <w:szCs w:val="24"/>
          <w:highlight w:val="none"/>
          <w:lang w:val="en-US" w:eastAsia="zh-CN"/>
        </w:rPr>
        <w:t>一、招标范围</w:t>
      </w:r>
      <w:r>
        <w:rPr>
          <w:rFonts w:hint="eastAsia" w:ascii="仿宋" w:hAnsi="仿宋" w:eastAsia="仿宋" w:cs="仿宋"/>
          <w:i w:val="0"/>
          <w:iCs w:val="0"/>
          <w:sz w:val="24"/>
          <w:szCs w:val="24"/>
        </w:rPr>
        <w:tab/>
      </w:r>
      <w:r>
        <w:rPr>
          <w:rFonts w:hint="eastAsia" w:ascii="仿宋" w:hAnsi="仿宋" w:eastAsia="仿宋" w:cs="仿宋"/>
          <w:i w:val="0"/>
          <w:iCs w:val="0"/>
          <w:sz w:val="24"/>
          <w:szCs w:val="24"/>
        </w:rPr>
        <w:fldChar w:fldCharType="begin"/>
      </w:r>
      <w:r>
        <w:rPr>
          <w:rFonts w:hint="eastAsia" w:ascii="仿宋" w:hAnsi="仿宋" w:eastAsia="仿宋" w:cs="仿宋"/>
          <w:i w:val="0"/>
          <w:iCs w:val="0"/>
          <w:sz w:val="24"/>
          <w:szCs w:val="24"/>
        </w:rPr>
        <w:instrText xml:space="preserve"> PAGEREF _Toc19618 \h </w:instrText>
      </w:r>
      <w:r>
        <w:rPr>
          <w:rFonts w:hint="eastAsia" w:ascii="仿宋" w:hAnsi="仿宋" w:eastAsia="仿宋" w:cs="仿宋"/>
          <w:i w:val="0"/>
          <w:iCs w:val="0"/>
          <w:sz w:val="24"/>
          <w:szCs w:val="24"/>
        </w:rPr>
        <w:fldChar w:fldCharType="separate"/>
      </w:r>
      <w:r>
        <w:rPr>
          <w:rFonts w:hint="eastAsia" w:ascii="仿宋" w:hAnsi="仿宋" w:eastAsia="仿宋" w:cs="仿宋"/>
          <w:i w:val="0"/>
          <w:iCs w:val="0"/>
          <w:sz w:val="24"/>
          <w:szCs w:val="24"/>
        </w:rPr>
        <w:t>34</w:t>
      </w:r>
      <w:r>
        <w:rPr>
          <w:rFonts w:hint="eastAsia" w:ascii="仿宋" w:hAnsi="仿宋" w:eastAsia="仿宋" w:cs="仿宋"/>
          <w:i w:val="0"/>
          <w:iCs w:val="0"/>
          <w:sz w:val="24"/>
          <w:szCs w:val="24"/>
        </w:rPr>
        <w:fldChar w:fldCharType="end"/>
      </w:r>
      <w:r>
        <w:rPr>
          <w:rFonts w:hint="eastAsia" w:ascii="仿宋" w:hAnsi="仿宋" w:eastAsia="仿宋" w:cs="仿宋"/>
          <w:i w:val="0"/>
          <w:iCs w:val="0"/>
          <w:color w:val="auto"/>
          <w:sz w:val="24"/>
          <w:szCs w:val="24"/>
          <w:highlight w:val="none"/>
        </w:rPr>
        <w:fldChar w:fldCharType="end"/>
      </w:r>
    </w:p>
    <w:p w14:paraId="50890C56">
      <w:pPr>
        <w:pStyle w:val="21"/>
        <w:tabs>
          <w:tab w:val="right" w:leader="dot" w:pos="8306"/>
        </w:tabs>
        <w:rPr>
          <w:rFonts w:hint="eastAsia" w:ascii="仿宋" w:hAnsi="仿宋" w:eastAsia="仿宋" w:cs="仿宋"/>
          <w:i w:val="0"/>
          <w:iCs w:val="0"/>
          <w:sz w:val="24"/>
          <w:szCs w:val="24"/>
        </w:rPr>
      </w:pPr>
      <w:r>
        <w:rPr>
          <w:rFonts w:hint="eastAsia" w:ascii="仿宋" w:hAnsi="仿宋" w:eastAsia="仿宋" w:cs="仿宋"/>
          <w:i w:val="0"/>
          <w:iCs w:val="0"/>
          <w:color w:val="auto"/>
          <w:sz w:val="24"/>
          <w:szCs w:val="24"/>
          <w:highlight w:val="none"/>
        </w:rPr>
        <w:fldChar w:fldCharType="begin"/>
      </w:r>
      <w:r>
        <w:rPr>
          <w:rFonts w:hint="eastAsia" w:ascii="仿宋" w:hAnsi="仿宋" w:eastAsia="仿宋" w:cs="仿宋"/>
          <w:i w:val="0"/>
          <w:iCs w:val="0"/>
          <w:sz w:val="24"/>
          <w:szCs w:val="24"/>
          <w:highlight w:val="none"/>
        </w:rPr>
        <w:instrText xml:space="preserve"> HYPERLINK \l _Toc8416 </w:instrText>
      </w:r>
      <w:r>
        <w:rPr>
          <w:rFonts w:hint="eastAsia" w:ascii="仿宋" w:hAnsi="仿宋" w:eastAsia="仿宋" w:cs="仿宋"/>
          <w:i w:val="0"/>
          <w:iCs w:val="0"/>
          <w:sz w:val="24"/>
          <w:szCs w:val="24"/>
          <w:highlight w:val="none"/>
        </w:rPr>
        <w:fldChar w:fldCharType="separate"/>
      </w:r>
      <w:r>
        <w:rPr>
          <w:rFonts w:hint="eastAsia" w:ascii="仿宋" w:hAnsi="仿宋" w:eastAsia="仿宋" w:cs="仿宋"/>
          <w:bCs/>
          <w:i w:val="0"/>
          <w:iCs w:val="0"/>
          <w:sz w:val="24"/>
          <w:szCs w:val="24"/>
          <w:highlight w:val="none"/>
          <w:lang w:val="en-US" w:eastAsia="zh-CN"/>
        </w:rPr>
        <w:t>二、</w:t>
      </w:r>
      <w:r>
        <w:rPr>
          <w:rFonts w:hint="eastAsia" w:ascii="仿宋" w:hAnsi="仿宋" w:eastAsia="仿宋" w:cs="仿宋"/>
          <w:bCs/>
          <w:i w:val="0"/>
          <w:iCs w:val="0"/>
          <w:sz w:val="24"/>
          <w:szCs w:val="24"/>
          <w:highlight w:val="none"/>
        </w:rPr>
        <w:t>★服务内容及要求</w:t>
      </w:r>
      <w:r>
        <w:rPr>
          <w:rFonts w:hint="eastAsia" w:ascii="仿宋" w:hAnsi="仿宋" w:eastAsia="仿宋" w:cs="仿宋"/>
          <w:i w:val="0"/>
          <w:iCs w:val="0"/>
          <w:sz w:val="24"/>
          <w:szCs w:val="24"/>
        </w:rPr>
        <w:tab/>
      </w:r>
      <w:r>
        <w:rPr>
          <w:rFonts w:hint="eastAsia" w:ascii="仿宋" w:hAnsi="仿宋" w:eastAsia="仿宋" w:cs="仿宋"/>
          <w:i w:val="0"/>
          <w:iCs w:val="0"/>
          <w:sz w:val="24"/>
          <w:szCs w:val="24"/>
        </w:rPr>
        <w:fldChar w:fldCharType="begin"/>
      </w:r>
      <w:r>
        <w:rPr>
          <w:rFonts w:hint="eastAsia" w:ascii="仿宋" w:hAnsi="仿宋" w:eastAsia="仿宋" w:cs="仿宋"/>
          <w:i w:val="0"/>
          <w:iCs w:val="0"/>
          <w:sz w:val="24"/>
          <w:szCs w:val="24"/>
        </w:rPr>
        <w:instrText xml:space="preserve"> PAGEREF _Toc8416 \h </w:instrText>
      </w:r>
      <w:r>
        <w:rPr>
          <w:rFonts w:hint="eastAsia" w:ascii="仿宋" w:hAnsi="仿宋" w:eastAsia="仿宋" w:cs="仿宋"/>
          <w:i w:val="0"/>
          <w:iCs w:val="0"/>
          <w:sz w:val="24"/>
          <w:szCs w:val="24"/>
        </w:rPr>
        <w:fldChar w:fldCharType="separate"/>
      </w:r>
      <w:r>
        <w:rPr>
          <w:rFonts w:hint="eastAsia" w:ascii="仿宋" w:hAnsi="仿宋" w:eastAsia="仿宋" w:cs="仿宋"/>
          <w:i w:val="0"/>
          <w:iCs w:val="0"/>
          <w:sz w:val="24"/>
          <w:szCs w:val="24"/>
        </w:rPr>
        <w:t>34</w:t>
      </w:r>
      <w:r>
        <w:rPr>
          <w:rFonts w:hint="eastAsia" w:ascii="仿宋" w:hAnsi="仿宋" w:eastAsia="仿宋" w:cs="仿宋"/>
          <w:i w:val="0"/>
          <w:iCs w:val="0"/>
          <w:sz w:val="24"/>
          <w:szCs w:val="24"/>
        </w:rPr>
        <w:fldChar w:fldCharType="end"/>
      </w:r>
      <w:r>
        <w:rPr>
          <w:rFonts w:hint="eastAsia" w:ascii="仿宋" w:hAnsi="仿宋" w:eastAsia="仿宋" w:cs="仿宋"/>
          <w:i w:val="0"/>
          <w:iCs w:val="0"/>
          <w:color w:val="auto"/>
          <w:sz w:val="24"/>
          <w:szCs w:val="24"/>
          <w:highlight w:val="none"/>
        </w:rPr>
        <w:fldChar w:fldCharType="end"/>
      </w:r>
    </w:p>
    <w:p w14:paraId="3FE7542A">
      <w:pPr>
        <w:pStyle w:val="21"/>
        <w:tabs>
          <w:tab w:val="right" w:leader="dot" w:pos="8306"/>
        </w:tabs>
        <w:rPr>
          <w:rFonts w:hint="eastAsia" w:ascii="仿宋" w:hAnsi="仿宋" w:eastAsia="仿宋" w:cs="仿宋"/>
          <w:i w:val="0"/>
          <w:iCs w:val="0"/>
          <w:sz w:val="24"/>
          <w:szCs w:val="24"/>
        </w:rPr>
      </w:pPr>
      <w:r>
        <w:rPr>
          <w:rFonts w:hint="eastAsia" w:ascii="仿宋" w:hAnsi="仿宋" w:eastAsia="仿宋" w:cs="仿宋"/>
          <w:i w:val="0"/>
          <w:iCs w:val="0"/>
          <w:color w:val="auto"/>
          <w:sz w:val="24"/>
          <w:szCs w:val="24"/>
          <w:highlight w:val="none"/>
        </w:rPr>
        <w:fldChar w:fldCharType="begin"/>
      </w:r>
      <w:r>
        <w:rPr>
          <w:rFonts w:hint="eastAsia" w:ascii="仿宋" w:hAnsi="仿宋" w:eastAsia="仿宋" w:cs="仿宋"/>
          <w:i w:val="0"/>
          <w:iCs w:val="0"/>
          <w:sz w:val="24"/>
          <w:szCs w:val="24"/>
          <w:highlight w:val="none"/>
        </w:rPr>
        <w:instrText xml:space="preserve"> HYPERLINK \l _Toc24997 </w:instrText>
      </w:r>
      <w:r>
        <w:rPr>
          <w:rFonts w:hint="eastAsia" w:ascii="仿宋" w:hAnsi="仿宋" w:eastAsia="仿宋" w:cs="仿宋"/>
          <w:i w:val="0"/>
          <w:iCs w:val="0"/>
          <w:sz w:val="24"/>
          <w:szCs w:val="24"/>
          <w:highlight w:val="none"/>
        </w:rPr>
        <w:fldChar w:fldCharType="separate"/>
      </w:r>
      <w:r>
        <w:rPr>
          <w:rFonts w:hint="eastAsia" w:ascii="仿宋" w:hAnsi="仿宋" w:eastAsia="仿宋" w:cs="仿宋"/>
          <w:bCs/>
          <w:i w:val="0"/>
          <w:iCs w:val="0"/>
          <w:sz w:val="24"/>
          <w:szCs w:val="24"/>
          <w:highlight w:val="none"/>
          <w:lang w:val="en-US" w:eastAsia="zh-CN"/>
        </w:rPr>
        <w:t>三、</w:t>
      </w:r>
      <w:r>
        <w:rPr>
          <w:rFonts w:hint="eastAsia" w:ascii="仿宋" w:hAnsi="仿宋" w:eastAsia="仿宋" w:cs="仿宋"/>
          <w:bCs/>
          <w:i w:val="0"/>
          <w:iCs w:val="0"/>
          <w:sz w:val="24"/>
          <w:szCs w:val="24"/>
          <w:highlight w:val="none"/>
        </w:rPr>
        <w:t>★商务要求</w:t>
      </w:r>
      <w:r>
        <w:rPr>
          <w:rFonts w:hint="eastAsia" w:ascii="仿宋" w:hAnsi="仿宋" w:eastAsia="仿宋" w:cs="仿宋"/>
          <w:i w:val="0"/>
          <w:iCs w:val="0"/>
          <w:sz w:val="24"/>
          <w:szCs w:val="24"/>
        </w:rPr>
        <w:tab/>
      </w:r>
      <w:r>
        <w:rPr>
          <w:rFonts w:hint="eastAsia" w:ascii="仿宋" w:hAnsi="仿宋" w:eastAsia="仿宋" w:cs="仿宋"/>
          <w:i w:val="0"/>
          <w:iCs w:val="0"/>
          <w:sz w:val="24"/>
          <w:szCs w:val="24"/>
        </w:rPr>
        <w:fldChar w:fldCharType="begin"/>
      </w:r>
      <w:r>
        <w:rPr>
          <w:rFonts w:hint="eastAsia" w:ascii="仿宋" w:hAnsi="仿宋" w:eastAsia="仿宋" w:cs="仿宋"/>
          <w:i w:val="0"/>
          <w:iCs w:val="0"/>
          <w:sz w:val="24"/>
          <w:szCs w:val="24"/>
        </w:rPr>
        <w:instrText xml:space="preserve"> PAGEREF _Toc24997 \h </w:instrText>
      </w:r>
      <w:r>
        <w:rPr>
          <w:rFonts w:hint="eastAsia" w:ascii="仿宋" w:hAnsi="仿宋" w:eastAsia="仿宋" w:cs="仿宋"/>
          <w:i w:val="0"/>
          <w:iCs w:val="0"/>
          <w:sz w:val="24"/>
          <w:szCs w:val="24"/>
        </w:rPr>
        <w:fldChar w:fldCharType="separate"/>
      </w:r>
      <w:r>
        <w:rPr>
          <w:rFonts w:hint="eastAsia" w:ascii="仿宋" w:hAnsi="仿宋" w:eastAsia="仿宋" w:cs="仿宋"/>
          <w:i w:val="0"/>
          <w:iCs w:val="0"/>
          <w:sz w:val="24"/>
          <w:szCs w:val="24"/>
        </w:rPr>
        <w:t>76</w:t>
      </w:r>
      <w:r>
        <w:rPr>
          <w:rFonts w:hint="eastAsia" w:ascii="仿宋" w:hAnsi="仿宋" w:eastAsia="仿宋" w:cs="仿宋"/>
          <w:i w:val="0"/>
          <w:iCs w:val="0"/>
          <w:sz w:val="24"/>
          <w:szCs w:val="24"/>
        </w:rPr>
        <w:fldChar w:fldCharType="end"/>
      </w:r>
      <w:r>
        <w:rPr>
          <w:rFonts w:hint="eastAsia" w:ascii="仿宋" w:hAnsi="仿宋" w:eastAsia="仿宋" w:cs="仿宋"/>
          <w:i w:val="0"/>
          <w:iCs w:val="0"/>
          <w:color w:val="auto"/>
          <w:sz w:val="24"/>
          <w:szCs w:val="24"/>
          <w:highlight w:val="none"/>
        </w:rPr>
        <w:fldChar w:fldCharType="end"/>
      </w:r>
    </w:p>
    <w:p w14:paraId="6AC0B3CD">
      <w:pPr>
        <w:pStyle w:val="34"/>
        <w:tabs>
          <w:tab w:val="right" w:leader="dot" w:pos="8306"/>
        </w:tabs>
        <w:rPr>
          <w:rFonts w:hint="eastAsia" w:ascii="仿宋" w:hAnsi="仿宋" w:eastAsia="仿宋" w:cs="仿宋"/>
          <w:i w:val="0"/>
          <w:iCs w:val="0"/>
          <w:sz w:val="24"/>
          <w:szCs w:val="24"/>
        </w:rPr>
      </w:pPr>
      <w:r>
        <w:rPr>
          <w:rFonts w:hint="eastAsia" w:ascii="仿宋" w:hAnsi="仿宋" w:eastAsia="仿宋" w:cs="仿宋"/>
          <w:i w:val="0"/>
          <w:iCs w:val="0"/>
          <w:color w:val="auto"/>
          <w:sz w:val="24"/>
          <w:szCs w:val="24"/>
          <w:highlight w:val="none"/>
        </w:rPr>
        <w:fldChar w:fldCharType="begin"/>
      </w:r>
      <w:r>
        <w:rPr>
          <w:rFonts w:hint="eastAsia" w:ascii="仿宋" w:hAnsi="仿宋" w:eastAsia="仿宋" w:cs="仿宋"/>
          <w:i w:val="0"/>
          <w:iCs w:val="0"/>
          <w:sz w:val="24"/>
          <w:szCs w:val="24"/>
          <w:highlight w:val="none"/>
        </w:rPr>
        <w:instrText xml:space="preserve"> HYPERLINK \l _Toc10950 </w:instrText>
      </w:r>
      <w:r>
        <w:rPr>
          <w:rFonts w:hint="eastAsia" w:ascii="仿宋" w:hAnsi="仿宋" w:eastAsia="仿宋" w:cs="仿宋"/>
          <w:i w:val="0"/>
          <w:iCs w:val="0"/>
          <w:sz w:val="24"/>
          <w:szCs w:val="24"/>
          <w:highlight w:val="none"/>
        </w:rPr>
        <w:fldChar w:fldCharType="separate"/>
      </w:r>
      <w:r>
        <w:rPr>
          <w:rFonts w:hint="eastAsia" w:ascii="仿宋" w:hAnsi="仿宋" w:eastAsia="仿宋" w:cs="仿宋"/>
          <w:bCs/>
          <w:i w:val="0"/>
          <w:iCs w:val="0"/>
          <w:sz w:val="24"/>
          <w:szCs w:val="24"/>
          <w:highlight w:val="none"/>
        </w:rPr>
        <w:t>第四章  合同条款及格式</w:t>
      </w:r>
      <w:r>
        <w:rPr>
          <w:rFonts w:hint="eastAsia" w:ascii="仿宋" w:hAnsi="仿宋" w:eastAsia="仿宋" w:cs="仿宋"/>
          <w:i w:val="0"/>
          <w:iCs w:val="0"/>
          <w:sz w:val="24"/>
          <w:szCs w:val="24"/>
        </w:rPr>
        <w:tab/>
      </w:r>
      <w:r>
        <w:rPr>
          <w:rFonts w:hint="eastAsia" w:ascii="仿宋" w:hAnsi="仿宋" w:eastAsia="仿宋" w:cs="仿宋"/>
          <w:i w:val="0"/>
          <w:iCs w:val="0"/>
          <w:sz w:val="24"/>
          <w:szCs w:val="24"/>
        </w:rPr>
        <w:fldChar w:fldCharType="begin"/>
      </w:r>
      <w:r>
        <w:rPr>
          <w:rFonts w:hint="eastAsia" w:ascii="仿宋" w:hAnsi="仿宋" w:eastAsia="仿宋" w:cs="仿宋"/>
          <w:i w:val="0"/>
          <w:iCs w:val="0"/>
          <w:sz w:val="24"/>
          <w:szCs w:val="24"/>
        </w:rPr>
        <w:instrText xml:space="preserve"> PAGEREF _Toc10950 \h </w:instrText>
      </w:r>
      <w:r>
        <w:rPr>
          <w:rFonts w:hint="eastAsia" w:ascii="仿宋" w:hAnsi="仿宋" w:eastAsia="仿宋" w:cs="仿宋"/>
          <w:i w:val="0"/>
          <w:iCs w:val="0"/>
          <w:sz w:val="24"/>
          <w:szCs w:val="24"/>
        </w:rPr>
        <w:fldChar w:fldCharType="separate"/>
      </w:r>
      <w:r>
        <w:rPr>
          <w:rFonts w:hint="eastAsia" w:ascii="仿宋" w:hAnsi="仿宋" w:eastAsia="仿宋" w:cs="仿宋"/>
          <w:i w:val="0"/>
          <w:iCs w:val="0"/>
          <w:sz w:val="24"/>
          <w:szCs w:val="24"/>
        </w:rPr>
        <w:t>80</w:t>
      </w:r>
      <w:r>
        <w:rPr>
          <w:rFonts w:hint="eastAsia" w:ascii="仿宋" w:hAnsi="仿宋" w:eastAsia="仿宋" w:cs="仿宋"/>
          <w:i w:val="0"/>
          <w:iCs w:val="0"/>
          <w:sz w:val="24"/>
          <w:szCs w:val="24"/>
        </w:rPr>
        <w:fldChar w:fldCharType="end"/>
      </w:r>
      <w:r>
        <w:rPr>
          <w:rFonts w:hint="eastAsia" w:ascii="仿宋" w:hAnsi="仿宋" w:eastAsia="仿宋" w:cs="仿宋"/>
          <w:i w:val="0"/>
          <w:iCs w:val="0"/>
          <w:color w:val="auto"/>
          <w:sz w:val="24"/>
          <w:szCs w:val="24"/>
          <w:highlight w:val="none"/>
        </w:rPr>
        <w:fldChar w:fldCharType="end"/>
      </w:r>
    </w:p>
    <w:p w14:paraId="060217B0">
      <w:pPr>
        <w:pStyle w:val="34"/>
        <w:tabs>
          <w:tab w:val="right" w:leader="dot" w:pos="8306"/>
        </w:tabs>
        <w:rPr>
          <w:rFonts w:hint="eastAsia" w:ascii="仿宋" w:hAnsi="仿宋" w:eastAsia="仿宋" w:cs="仿宋"/>
          <w:i w:val="0"/>
          <w:iCs w:val="0"/>
          <w:sz w:val="24"/>
          <w:szCs w:val="24"/>
        </w:rPr>
      </w:pPr>
      <w:r>
        <w:rPr>
          <w:rFonts w:hint="eastAsia" w:ascii="仿宋" w:hAnsi="仿宋" w:eastAsia="仿宋" w:cs="仿宋"/>
          <w:i w:val="0"/>
          <w:iCs w:val="0"/>
          <w:color w:val="auto"/>
          <w:sz w:val="24"/>
          <w:szCs w:val="24"/>
          <w:highlight w:val="none"/>
        </w:rPr>
        <w:fldChar w:fldCharType="begin"/>
      </w:r>
      <w:r>
        <w:rPr>
          <w:rFonts w:hint="eastAsia" w:ascii="仿宋" w:hAnsi="仿宋" w:eastAsia="仿宋" w:cs="仿宋"/>
          <w:i w:val="0"/>
          <w:iCs w:val="0"/>
          <w:sz w:val="24"/>
          <w:szCs w:val="24"/>
          <w:highlight w:val="none"/>
        </w:rPr>
        <w:instrText xml:space="preserve"> HYPERLINK \l _Toc8516 </w:instrText>
      </w:r>
      <w:r>
        <w:rPr>
          <w:rFonts w:hint="eastAsia" w:ascii="仿宋" w:hAnsi="仿宋" w:eastAsia="仿宋" w:cs="仿宋"/>
          <w:i w:val="0"/>
          <w:iCs w:val="0"/>
          <w:sz w:val="24"/>
          <w:szCs w:val="24"/>
          <w:highlight w:val="none"/>
        </w:rPr>
        <w:fldChar w:fldCharType="separate"/>
      </w:r>
      <w:r>
        <w:rPr>
          <w:rFonts w:hint="eastAsia" w:ascii="仿宋" w:hAnsi="仿宋" w:eastAsia="仿宋" w:cs="仿宋"/>
          <w:bCs/>
          <w:i w:val="0"/>
          <w:iCs w:val="0"/>
          <w:sz w:val="24"/>
          <w:szCs w:val="24"/>
          <w:highlight w:val="none"/>
        </w:rPr>
        <w:t>第五章  投标文件的格式、附件</w:t>
      </w:r>
      <w:r>
        <w:rPr>
          <w:rFonts w:hint="eastAsia" w:ascii="仿宋" w:hAnsi="仿宋" w:eastAsia="仿宋" w:cs="仿宋"/>
          <w:i w:val="0"/>
          <w:iCs w:val="0"/>
          <w:sz w:val="24"/>
          <w:szCs w:val="24"/>
        </w:rPr>
        <w:tab/>
      </w:r>
      <w:r>
        <w:rPr>
          <w:rFonts w:hint="eastAsia" w:ascii="仿宋" w:hAnsi="仿宋" w:eastAsia="仿宋" w:cs="仿宋"/>
          <w:i w:val="0"/>
          <w:iCs w:val="0"/>
          <w:sz w:val="24"/>
          <w:szCs w:val="24"/>
        </w:rPr>
        <w:fldChar w:fldCharType="begin"/>
      </w:r>
      <w:r>
        <w:rPr>
          <w:rFonts w:hint="eastAsia" w:ascii="仿宋" w:hAnsi="仿宋" w:eastAsia="仿宋" w:cs="仿宋"/>
          <w:i w:val="0"/>
          <w:iCs w:val="0"/>
          <w:sz w:val="24"/>
          <w:szCs w:val="24"/>
        </w:rPr>
        <w:instrText xml:space="preserve"> PAGEREF _Toc8516 \h </w:instrText>
      </w:r>
      <w:r>
        <w:rPr>
          <w:rFonts w:hint="eastAsia" w:ascii="仿宋" w:hAnsi="仿宋" w:eastAsia="仿宋" w:cs="仿宋"/>
          <w:i w:val="0"/>
          <w:iCs w:val="0"/>
          <w:sz w:val="24"/>
          <w:szCs w:val="24"/>
        </w:rPr>
        <w:fldChar w:fldCharType="separate"/>
      </w:r>
      <w:r>
        <w:rPr>
          <w:rFonts w:hint="eastAsia" w:ascii="仿宋" w:hAnsi="仿宋" w:eastAsia="仿宋" w:cs="仿宋"/>
          <w:i w:val="0"/>
          <w:iCs w:val="0"/>
          <w:sz w:val="24"/>
          <w:szCs w:val="24"/>
        </w:rPr>
        <w:t>99</w:t>
      </w:r>
      <w:r>
        <w:rPr>
          <w:rFonts w:hint="eastAsia" w:ascii="仿宋" w:hAnsi="仿宋" w:eastAsia="仿宋" w:cs="仿宋"/>
          <w:i w:val="0"/>
          <w:iCs w:val="0"/>
          <w:sz w:val="24"/>
          <w:szCs w:val="24"/>
        </w:rPr>
        <w:fldChar w:fldCharType="end"/>
      </w:r>
      <w:r>
        <w:rPr>
          <w:rFonts w:hint="eastAsia" w:ascii="仿宋" w:hAnsi="仿宋" w:eastAsia="仿宋" w:cs="仿宋"/>
          <w:i w:val="0"/>
          <w:iCs w:val="0"/>
          <w:color w:val="auto"/>
          <w:sz w:val="24"/>
          <w:szCs w:val="24"/>
          <w:highlight w:val="none"/>
        </w:rPr>
        <w:fldChar w:fldCharType="end"/>
      </w:r>
    </w:p>
    <w:p w14:paraId="43ECB8F9">
      <w:pPr>
        <w:pStyle w:val="21"/>
        <w:tabs>
          <w:tab w:val="right" w:leader="dot" w:pos="8306"/>
        </w:tabs>
        <w:rPr>
          <w:rFonts w:hint="eastAsia" w:ascii="仿宋" w:hAnsi="仿宋" w:eastAsia="仿宋" w:cs="仿宋"/>
          <w:i w:val="0"/>
          <w:iCs w:val="0"/>
          <w:sz w:val="24"/>
          <w:szCs w:val="24"/>
        </w:rPr>
      </w:pPr>
      <w:r>
        <w:rPr>
          <w:rFonts w:hint="eastAsia" w:ascii="仿宋" w:hAnsi="仿宋" w:eastAsia="仿宋" w:cs="仿宋"/>
          <w:i w:val="0"/>
          <w:iCs w:val="0"/>
          <w:color w:val="auto"/>
          <w:sz w:val="24"/>
          <w:szCs w:val="24"/>
          <w:highlight w:val="none"/>
        </w:rPr>
        <w:fldChar w:fldCharType="begin"/>
      </w:r>
      <w:r>
        <w:rPr>
          <w:rFonts w:hint="eastAsia" w:ascii="仿宋" w:hAnsi="仿宋" w:eastAsia="仿宋" w:cs="仿宋"/>
          <w:i w:val="0"/>
          <w:iCs w:val="0"/>
          <w:sz w:val="24"/>
          <w:szCs w:val="24"/>
          <w:highlight w:val="none"/>
        </w:rPr>
        <w:instrText xml:space="preserve"> HYPERLINK \l _Toc11157 </w:instrText>
      </w:r>
      <w:r>
        <w:rPr>
          <w:rFonts w:hint="eastAsia" w:ascii="仿宋" w:hAnsi="仿宋" w:eastAsia="仿宋" w:cs="仿宋"/>
          <w:i w:val="0"/>
          <w:iCs w:val="0"/>
          <w:sz w:val="24"/>
          <w:szCs w:val="24"/>
          <w:highlight w:val="none"/>
        </w:rPr>
        <w:fldChar w:fldCharType="separate"/>
      </w:r>
      <w:r>
        <w:rPr>
          <w:rFonts w:hint="eastAsia" w:ascii="仿宋" w:hAnsi="仿宋" w:eastAsia="仿宋" w:cs="仿宋"/>
          <w:i w:val="0"/>
          <w:iCs w:val="0"/>
          <w:sz w:val="24"/>
          <w:szCs w:val="24"/>
          <w:highlight w:val="none"/>
          <w:lang w:eastAsia="zh-CN"/>
        </w:rPr>
        <w:t>报价一览表</w:t>
      </w:r>
      <w:r>
        <w:rPr>
          <w:rFonts w:hint="eastAsia" w:ascii="仿宋" w:hAnsi="仿宋" w:eastAsia="仿宋" w:cs="仿宋"/>
          <w:i w:val="0"/>
          <w:iCs w:val="0"/>
          <w:sz w:val="24"/>
          <w:szCs w:val="24"/>
        </w:rPr>
        <w:tab/>
      </w:r>
      <w:r>
        <w:rPr>
          <w:rFonts w:hint="eastAsia" w:ascii="仿宋" w:hAnsi="仿宋" w:eastAsia="仿宋" w:cs="仿宋"/>
          <w:i w:val="0"/>
          <w:iCs w:val="0"/>
          <w:sz w:val="24"/>
          <w:szCs w:val="24"/>
        </w:rPr>
        <w:fldChar w:fldCharType="begin"/>
      </w:r>
      <w:r>
        <w:rPr>
          <w:rFonts w:hint="eastAsia" w:ascii="仿宋" w:hAnsi="仿宋" w:eastAsia="仿宋" w:cs="仿宋"/>
          <w:i w:val="0"/>
          <w:iCs w:val="0"/>
          <w:sz w:val="24"/>
          <w:szCs w:val="24"/>
        </w:rPr>
        <w:instrText xml:space="preserve"> PAGEREF _Toc11157 \h </w:instrText>
      </w:r>
      <w:r>
        <w:rPr>
          <w:rFonts w:hint="eastAsia" w:ascii="仿宋" w:hAnsi="仿宋" w:eastAsia="仿宋" w:cs="仿宋"/>
          <w:i w:val="0"/>
          <w:iCs w:val="0"/>
          <w:sz w:val="24"/>
          <w:szCs w:val="24"/>
        </w:rPr>
        <w:fldChar w:fldCharType="separate"/>
      </w:r>
      <w:r>
        <w:rPr>
          <w:rFonts w:hint="eastAsia" w:ascii="仿宋" w:hAnsi="仿宋" w:eastAsia="仿宋" w:cs="仿宋"/>
          <w:i w:val="0"/>
          <w:iCs w:val="0"/>
          <w:sz w:val="24"/>
          <w:szCs w:val="24"/>
        </w:rPr>
        <w:t>100</w:t>
      </w:r>
      <w:r>
        <w:rPr>
          <w:rFonts w:hint="eastAsia" w:ascii="仿宋" w:hAnsi="仿宋" w:eastAsia="仿宋" w:cs="仿宋"/>
          <w:i w:val="0"/>
          <w:iCs w:val="0"/>
          <w:sz w:val="24"/>
          <w:szCs w:val="24"/>
        </w:rPr>
        <w:fldChar w:fldCharType="end"/>
      </w:r>
      <w:r>
        <w:rPr>
          <w:rFonts w:hint="eastAsia" w:ascii="仿宋" w:hAnsi="仿宋" w:eastAsia="仿宋" w:cs="仿宋"/>
          <w:i w:val="0"/>
          <w:iCs w:val="0"/>
          <w:color w:val="auto"/>
          <w:sz w:val="24"/>
          <w:szCs w:val="24"/>
          <w:highlight w:val="none"/>
        </w:rPr>
        <w:fldChar w:fldCharType="end"/>
      </w:r>
    </w:p>
    <w:p w14:paraId="66AEE85C">
      <w:pPr>
        <w:pStyle w:val="21"/>
        <w:tabs>
          <w:tab w:val="right" w:leader="dot" w:pos="8306"/>
        </w:tabs>
        <w:rPr>
          <w:rFonts w:hint="eastAsia" w:ascii="仿宋" w:hAnsi="仿宋" w:eastAsia="仿宋" w:cs="仿宋"/>
          <w:i w:val="0"/>
          <w:iCs w:val="0"/>
          <w:sz w:val="24"/>
          <w:szCs w:val="24"/>
        </w:rPr>
      </w:pPr>
      <w:r>
        <w:rPr>
          <w:rFonts w:hint="eastAsia" w:ascii="仿宋" w:hAnsi="仿宋" w:eastAsia="仿宋" w:cs="仿宋"/>
          <w:i w:val="0"/>
          <w:iCs w:val="0"/>
          <w:color w:val="auto"/>
          <w:sz w:val="24"/>
          <w:szCs w:val="24"/>
          <w:highlight w:val="none"/>
        </w:rPr>
        <w:fldChar w:fldCharType="begin"/>
      </w:r>
      <w:r>
        <w:rPr>
          <w:rFonts w:hint="eastAsia" w:ascii="仿宋" w:hAnsi="仿宋" w:eastAsia="仿宋" w:cs="仿宋"/>
          <w:i w:val="0"/>
          <w:iCs w:val="0"/>
          <w:sz w:val="24"/>
          <w:szCs w:val="24"/>
          <w:highlight w:val="none"/>
        </w:rPr>
        <w:instrText xml:space="preserve"> HYPERLINK \l _Toc22774 </w:instrText>
      </w:r>
      <w:r>
        <w:rPr>
          <w:rFonts w:hint="eastAsia" w:ascii="仿宋" w:hAnsi="仿宋" w:eastAsia="仿宋" w:cs="仿宋"/>
          <w:i w:val="0"/>
          <w:iCs w:val="0"/>
          <w:sz w:val="24"/>
          <w:szCs w:val="24"/>
          <w:highlight w:val="none"/>
        </w:rPr>
        <w:fldChar w:fldCharType="separate"/>
      </w:r>
      <w:r>
        <w:rPr>
          <w:rFonts w:hint="eastAsia" w:ascii="仿宋" w:hAnsi="仿宋" w:eastAsia="仿宋" w:cs="仿宋"/>
          <w:i w:val="0"/>
          <w:iCs w:val="0"/>
          <w:sz w:val="24"/>
          <w:szCs w:val="24"/>
          <w:highlight w:val="none"/>
        </w:rPr>
        <w:t>投标文件（正本/副本）</w:t>
      </w:r>
      <w:r>
        <w:rPr>
          <w:rFonts w:hint="eastAsia" w:ascii="仿宋" w:hAnsi="仿宋" w:eastAsia="仿宋" w:cs="仿宋"/>
          <w:i w:val="0"/>
          <w:iCs w:val="0"/>
          <w:sz w:val="24"/>
          <w:szCs w:val="24"/>
        </w:rPr>
        <w:tab/>
      </w:r>
      <w:r>
        <w:rPr>
          <w:rFonts w:hint="eastAsia" w:ascii="仿宋" w:hAnsi="仿宋" w:eastAsia="仿宋" w:cs="仿宋"/>
          <w:i w:val="0"/>
          <w:iCs w:val="0"/>
          <w:sz w:val="24"/>
          <w:szCs w:val="24"/>
        </w:rPr>
        <w:fldChar w:fldCharType="begin"/>
      </w:r>
      <w:r>
        <w:rPr>
          <w:rFonts w:hint="eastAsia" w:ascii="仿宋" w:hAnsi="仿宋" w:eastAsia="仿宋" w:cs="仿宋"/>
          <w:i w:val="0"/>
          <w:iCs w:val="0"/>
          <w:sz w:val="24"/>
          <w:szCs w:val="24"/>
        </w:rPr>
        <w:instrText xml:space="preserve"> PAGEREF _Toc22774 \h </w:instrText>
      </w:r>
      <w:r>
        <w:rPr>
          <w:rFonts w:hint="eastAsia" w:ascii="仿宋" w:hAnsi="仿宋" w:eastAsia="仿宋" w:cs="仿宋"/>
          <w:i w:val="0"/>
          <w:iCs w:val="0"/>
          <w:sz w:val="24"/>
          <w:szCs w:val="24"/>
        </w:rPr>
        <w:fldChar w:fldCharType="separate"/>
      </w:r>
      <w:r>
        <w:rPr>
          <w:rFonts w:hint="eastAsia" w:ascii="仿宋" w:hAnsi="仿宋" w:eastAsia="仿宋" w:cs="仿宋"/>
          <w:i w:val="0"/>
          <w:iCs w:val="0"/>
          <w:sz w:val="24"/>
          <w:szCs w:val="24"/>
        </w:rPr>
        <w:t>102</w:t>
      </w:r>
      <w:r>
        <w:rPr>
          <w:rFonts w:hint="eastAsia" w:ascii="仿宋" w:hAnsi="仿宋" w:eastAsia="仿宋" w:cs="仿宋"/>
          <w:i w:val="0"/>
          <w:iCs w:val="0"/>
          <w:sz w:val="24"/>
          <w:szCs w:val="24"/>
        </w:rPr>
        <w:fldChar w:fldCharType="end"/>
      </w:r>
      <w:r>
        <w:rPr>
          <w:rFonts w:hint="eastAsia" w:ascii="仿宋" w:hAnsi="仿宋" w:eastAsia="仿宋" w:cs="仿宋"/>
          <w:i w:val="0"/>
          <w:iCs w:val="0"/>
          <w:color w:val="auto"/>
          <w:sz w:val="24"/>
          <w:szCs w:val="24"/>
          <w:highlight w:val="none"/>
        </w:rPr>
        <w:fldChar w:fldCharType="end"/>
      </w:r>
    </w:p>
    <w:p w14:paraId="1399791A">
      <w:pPr>
        <w:pStyle w:val="21"/>
        <w:tabs>
          <w:tab w:val="right" w:leader="dot" w:pos="8306"/>
        </w:tabs>
        <w:rPr>
          <w:rFonts w:hint="eastAsia" w:ascii="仿宋" w:hAnsi="仿宋" w:eastAsia="仿宋" w:cs="仿宋"/>
          <w:i w:val="0"/>
          <w:iCs w:val="0"/>
          <w:sz w:val="24"/>
          <w:szCs w:val="24"/>
        </w:rPr>
      </w:pPr>
      <w:r>
        <w:rPr>
          <w:rFonts w:hint="eastAsia" w:ascii="仿宋" w:hAnsi="仿宋" w:eastAsia="仿宋" w:cs="仿宋"/>
          <w:i w:val="0"/>
          <w:iCs w:val="0"/>
          <w:color w:val="auto"/>
          <w:sz w:val="24"/>
          <w:szCs w:val="24"/>
          <w:highlight w:val="none"/>
        </w:rPr>
        <w:fldChar w:fldCharType="begin"/>
      </w:r>
      <w:r>
        <w:rPr>
          <w:rFonts w:hint="eastAsia" w:ascii="仿宋" w:hAnsi="仿宋" w:eastAsia="仿宋" w:cs="仿宋"/>
          <w:i w:val="0"/>
          <w:iCs w:val="0"/>
          <w:sz w:val="24"/>
          <w:szCs w:val="24"/>
          <w:highlight w:val="none"/>
        </w:rPr>
        <w:instrText xml:space="preserve"> HYPERLINK \l _Toc27338 </w:instrText>
      </w:r>
      <w:r>
        <w:rPr>
          <w:rFonts w:hint="eastAsia" w:ascii="仿宋" w:hAnsi="仿宋" w:eastAsia="仿宋" w:cs="仿宋"/>
          <w:i w:val="0"/>
          <w:iCs w:val="0"/>
          <w:sz w:val="24"/>
          <w:szCs w:val="24"/>
          <w:highlight w:val="none"/>
        </w:rPr>
        <w:fldChar w:fldCharType="separate"/>
      </w:r>
      <w:r>
        <w:rPr>
          <w:rFonts w:hint="eastAsia" w:ascii="仿宋" w:hAnsi="仿宋" w:eastAsia="仿宋" w:cs="仿宋"/>
          <w:i w:val="0"/>
          <w:iCs w:val="0"/>
          <w:sz w:val="24"/>
          <w:szCs w:val="24"/>
          <w:highlight w:val="none"/>
          <w:lang w:eastAsia="zh-CN"/>
        </w:rPr>
        <w:t>报价一览表</w:t>
      </w:r>
      <w:r>
        <w:rPr>
          <w:rFonts w:hint="eastAsia" w:ascii="仿宋" w:hAnsi="仿宋" w:eastAsia="仿宋" w:cs="仿宋"/>
          <w:i w:val="0"/>
          <w:iCs w:val="0"/>
          <w:sz w:val="24"/>
          <w:szCs w:val="24"/>
        </w:rPr>
        <w:tab/>
      </w:r>
      <w:r>
        <w:rPr>
          <w:rFonts w:hint="eastAsia" w:ascii="仿宋" w:hAnsi="仿宋" w:eastAsia="仿宋" w:cs="仿宋"/>
          <w:i w:val="0"/>
          <w:iCs w:val="0"/>
          <w:sz w:val="24"/>
          <w:szCs w:val="24"/>
        </w:rPr>
        <w:fldChar w:fldCharType="begin"/>
      </w:r>
      <w:r>
        <w:rPr>
          <w:rFonts w:hint="eastAsia" w:ascii="仿宋" w:hAnsi="仿宋" w:eastAsia="仿宋" w:cs="仿宋"/>
          <w:i w:val="0"/>
          <w:iCs w:val="0"/>
          <w:sz w:val="24"/>
          <w:szCs w:val="24"/>
        </w:rPr>
        <w:instrText xml:space="preserve"> PAGEREF _Toc27338 \h </w:instrText>
      </w:r>
      <w:r>
        <w:rPr>
          <w:rFonts w:hint="eastAsia" w:ascii="仿宋" w:hAnsi="仿宋" w:eastAsia="仿宋" w:cs="仿宋"/>
          <w:i w:val="0"/>
          <w:iCs w:val="0"/>
          <w:sz w:val="24"/>
          <w:szCs w:val="24"/>
        </w:rPr>
        <w:fldChar w:fldCharType="separate"/>
      </w:r>
      <w:r>
        <w:rPr>
          <w:rFonts w:hint="eastAsia" w:ascii="仿宋" w:hAnsi="仿宋" w:eastAsia="仿宋" w:cs="仿宋"/>
          <w:i w:val="0"/>
          <w:iCs w:val="0"/>
          <w:sz w:val="24"/>
          <w:szCs w:val="24"/>
        </w:rPr>
        <w:t>106</w:t>
      </w:r>
      <w:r>
        <w:rPr>
          <w:rFonts w:hint="eastAsia" w:ascii="仿宋" w:hAnsi="仿宋" w:eastAsia="仿宋" w:cs="仿宋"/>
          <w:i w:val="0"/>
          <w:iCs w:val="0"/>
          <w:sz w:val="24"/>
          <w:szCs w:val="24"/>
        </w:rPr>
        <w:fldChar w:fldCharType="end"/>
      </w:r>
      <w:r>
        <w:rPr>
          <w:rFonts w:hint="eastAsia" w:ascii="仿宋" w:hAnsi="仿宋" w:eastAsia="仿宋" w:cs="仿宋"/>
          <w:i w:val="0"/>
          <w:iCs w:val="0"/>
          <w:color w:val="auto"/>
          <w:sz w:val="24"/>
          <w:szCs w:val="24"/>
          <w:highlight w:val="none"/>
        </w:rPr>
        <w:fldChar w:fldCharType="end"/>
      </w:r>
    </w:p>
    <w:p w14:paraId="29B3AA2A">
      <w:pPr>
        <w:pStyle w:val="30"/>
        <w:tabs>
          <w:tab w:val="right" w:leader="dot" w:pos="8296"/>
        </w:tabs>
        <w:spacing w:before="0" w:after="0" w:line="276" w:lineRule="auto"/>
        <w:rPr>
          <w:rFonts w:ascii="宋体" w:hAnsi="宋体" w:cs="宋体"/>
          <w:color w:val="auto"/>
          <w:sz w:val="21"/>
          <w:szCs w:val="21"/>
          <w:highlight w:val="none"/>
        </w:rPr>
      </w:pPr>
      <w:r>
        <w:rPr>
          <w:rFonts w:hint="eastAsia" w:ascii="仿宋" w:hAnsi="仿宋" w:eastAsia="仿宋" w:cs="仿宋"/>
          <w:b w:val="0"/>
          <w:i w:val="0"/>
          <w:iCs w:val="0"/>
          <w:color w:val="auto"/>
          <w:sz w:val="24"/>
          <w:szCs w:val="24"/>
          <w:highlight w:val="none"/>
        </w:rPr>
        <w:fldChar w:fldCharType="end"/>
      </w:r>
    </w:p>
    <w:p w14:paraId="675B3F2A">
      <w:pPr>
        <w:rPr>
          <w:rFonts w:ascii="宋体" w:hAnsi="宋体" w:cs="宋体"/>
          <w:color w:val="auto"/>
          <w:szCs w:val="21"/>
          <w:highlight w:val="none"/>
        </w:rPr>
      </w:pPr>
    </w:p>
    <w:p w14:paraId="5554052E">
      <w:pPr>
        <w:pageBreakBefore/>
        <w:jc w:val="center"/>
        <w:outlineLvl w:val="0"/>
        <w:rPr>
          <w:rFonts w:ascii="黑体" w:eastAsia="黑体"/>
          <w:color w:val="auto"/>
          <w:sz w:val="36"/>
          <w:szCs w:val="36"/>
          <w:highlight w:val="none"/>
        </w:rPr>
      </w:pPr>
      <w:bookmarkStart w:id="0" w:name="_Toc17855"/>
      <w:bookmarkStart w:id="1" w:name="_Toc21223"/>
      <w:bookmarkStart w:id="2" w:name="_Toc23648"/>
      <w:bookmarkStart w:id="3" w:name="_Toc2538"/>
      <w:bookmarkStart w:id="4" w:name="_Toc128564751"/>
      <w:bookmarkStart w:id="5" w:name="_Toc31386"/>
      <w:bookmarkStart w:id="6" w:name="_Toc21347"/>
      <w:bookmarkStart w:id="7" w:name="_Toc3165"/>
      <w:bookmarkStart w:id="8" w:name="_Toc31308"/>
      <w:bookmarkStart w:id="9" w:name="_Toc28825"/>
      <w:bookmarkStart w:id="10" w:name="_Toc32071"/>
      <w:bookmarkStart w:id="11" w:name="_Toc4932"/>
      <w:r>
        <w:rPr>
          <w:rFonts w:hint="eastAsia" w:ascii="黑体" w:eastAsia="黑体"/>
          <w:color w:val="auto"/>
          <w:sz w:val="36"/>
          <w:szCs w:val="36"/>
          <w:highlight w:val="none"/>
        </w:rPr>
        <w:t>特别警示条款</w:t>
      </w:r>
      <w:bookmarkEnd w:id="0"/>
      <w:bookmarkEnd w:id="1"/>
      <w:bookmarkEnd w:id="2"/>
      <w:bookmarkEnd w:id="3"/>
      <w:bookmarkEnd w:id="4"/>
      <w:bookmarkEnd w:id="5"/>
      <w:bookmarkEnd w:id="6"/>
      <w:bookmarkEnd w:id="7"/>
      <w:bookmarkEnd w:id="8"/>
      <w:bookmarkEnd w:id="9"/>
      <w:bookmarkEnd w:id="10"/>
      <w:bookmarkEnd w:id="11"/>
    </w:p>
    <w:p w14:paraId="53DC0F43">
      <w:pPr>
        <w:pStyle w:val="2"/>
        <w:rPr>
          <w:color w:val="auto"/>
          <w:highlight w:val="none"/>
        </w:rPr>
      </w:pPr>
    </w:p>
    <w:p w14:paraId="0DA93CEA">
      <w:pPr>
        <w:pStyle w:val="38"/>
        <w:shd w:val="clear" w:color="auto" w:fill="FFFFFF"/>
        <w:spacing w:line="360" w:lineRule="auto"/>
        <w:ind w:firstLine="402"/>
        <w:rPr>
          <w:color w:val="auto"/>
          <w:highlight w:val="none"/>
        </w:rPr>
      </w:pPr>
      <w:r>
        <w:rPr>
          <w:rFonts w:hint="eastAsia" w:ascii="仿宋" w:hAnsi="仿宋" w:eastAsia="仿宋" w:cs="仿宋"/>
          <w:b/>
          <w:color w:val="auto"/>
          <w:highlight w:val="none"/>
        </w:rPr>
        <w:t xml:space="preserve">一、《中华人民共和国招标投标法》第五十四条 </w:t>
      </w:r>
      <w:r>
        <w:rPr>
          <w:rFonts w:hint="eastAsia" w:ascii="仿宋" w:hAnsi="仿宋" w:eastAsia="仿宋" w:cs="仿宋"/>
          <w:color w:val="auto"/>
          <w:kern w:val="2"/>
          <w:highlight w:val="none"/>
        </w:rPr>
        <w:t>投标人以他人名义投标或者以其他方式弄虚作假，骗取中标的，中标无效，给招标人造成损失的，依法承担赔偿责任；构成犯罪的，依法追究刑事责任。依法必须进行招标的项目的投标人有前款所列行为尚未构成犯罪的，处中标项目金额千分之五以上千分之十以下的罚款，对单位直接负责的主管人员和其他直接责任人员处单位罚款数额百分之五以上百分之十以下的罚款；有违法所得的，并处没收违法所得；情节严重的，取消其一年至三年内参加依法必须进行招标的项目的投标资格并予以公告，直至由工商行政管理机关吊销营业执照。</w:t>
      </w:r>
    </w:p>
    <w:p w14:paraId="1A2EACEE">
      <w:pPr>
        <w:snapToGrid w:val="0"/>
        <w:spacing w:line="360" w:lineRule="auto"/>
        <w:ind w:firstLine="472" w:firstLineChars="196"/>
        <w:rPr>
          <w:rFonts w:hint="eastAsia" w:ascii="仿宋" w:hAnsi="仿宋" w:eastAsia="仿宋" w:cs="仿宋"/>
          <w:color w:val="auto"/>
          <w:sz w:val="24"/>
          <w:highlight w:val="none"/>
          <w:lang w:eastAsia="zh-CN"/>
        </w:rPr>
      </w:pPr>
      <w:r>
        <w:rPr>
          <w:rFonts w:hint="eastAsia" w:ascii="仿宋" w:hAnsi="仿宋" w:eastAsia="仿宋" w:cs="仿宋"/>
          <w:b/>
          <w:color w:val="auto"/>
          <w:kern w:val="0"/>
          <w:sz w:val="24"/>
          <w:highlight w:val="none"/>
        </w:rPr>
        <w:t>二、《</w:t>
      </w:r>
      <w:r>
        <w:rPr>
          <w:rFonts w:hint="eastAsia" w:ascii="仿宋" w:hAnsi="仿宋" w:eastAsia="仿宋" w:cs="仿宋"/>
          <w:b/>
          <w:bCs/>
          <w:color w:val="auto"/>
          <w:kern w:val="0"/>
          <w:sz w:val="24"/>
          <w:highlight w:val="none"/>
        </w:rPr>
        <w:t>中华人民共和国招标投标法实施条例</w:t>
      </w:r>
      <w:r>
        <w:rPr>
          <w:rFonts w:hint="eastAsia" w:ascii="仿宋" w:hAnsi="仿宋" w:eastAsia="仿宋" w:cs="仿宋"/>
          <w:b/>
          <w:color w:val="auto"/>
          <w:kern w:val="0"/>
          <w:sz w:val="24"/>
          <w:highlight w:val="none"/>
        </w:rPr>
        <w:t>》第六十七条</w:t>
      </w:r>
      <w:r>
        <w:rPr>
          <w:rFonts w:hint="eastAsia"/>
          <w:color w:val="auto"/>
          <w:highlight w:val="none"/>
        </w:rPr>
        <w:t xml:space="preserve"> </w:t>
      </w:r>
      <w:r>
        <w:rPr>
          <w:rFonts w:hint="eastAsia" w:ascii="仿宋" w:hAnsi="仿宋" w:eastAsia="仿宋" w:cs="仿宋"/>
          <w:color w:val="auto"/>
          <w:sz w:val="24"/>
          <w:highlight w:val="none"/>
        </w:rPr>
        <w:t>投标人相互串通投标或者与招标人串通投标的，投标人向招标人或者评标委员会成员行贿谋取中标的，中标无效；构成犯罪的，依法追究刑事责任；尚不构成犯罪的，依照招标投标法第五十三条的规定处罚。投标人未中标的，对单位的罚款金额按照招标项目合同金额依照招标投标法规定的比例计算。</w:t>
      </w:r>
    </w:p>
    <w:p w14:paraId="4FBA805D">
      <w:pPr>
        <w:snapToGrid w:val="0"/>
        <w:spacing w:line="360" w:lineRule="auto"/>
        <w:ind w:firstLine="470" w:firstLineChars="196"/>
        <w:rPr>
          <w:rFonts w:hint="eastAsia" w:ascii="仿宋" w:hAnsi="仿宋" w:eastAsia="仿宋" w:cs="仿宋"/>
          <w:color w:val="auto"/>
          <w:sz w:val="24"/>
          <w:highlight w:val="none"/>
          <w:lang w:eastAsia="zh-CN"/>
        </w:rPr>
      </w:pPr>
      <w:r>
        <w:rPr>
          <w:rFonts w:ascii="Calibri" w:hAnsi="Calibri" w:eastAsia="仿宋" w:cs="Calibri"/>
          <w:color w:val="auto"/>
          <w:sz w:val="24"/>
          <w:highlight w:val="none"/>
        </w:rPr>
        <w:t>    </w:t>
      </w:r>
      <w:r>
        <w:rPr>
          <w:rFonts w:hint="eastAsia" w:ascii="仿宋" w:hAnsi="仿宋" w:eastAsia="仿宋" w:cs="仿宋"/>
          <w:color w:val="auto"/>
          <w:sz w:val="24"/>
          <w:highlight w:val="none"/>
        </w:rPr>
        <w:t>投标人有下列行为之一的，属于招标投标法第五十三条规定的情节严重行为，由有关行政监督部门取消其1年至2年内参加依法必须进行招标的项目的投标资格：</w:t>
      </w:r>
    </w:p>
    <w:p w14:paraId="50717036">
      <w:pPr>
        <w:snapToGrid w:val="0"/>
        <w:spacing w:line="360" w:lineRule="auto"/>
        <w:ind w:firstLine="470" w:firstLineChars="196"/>
        <w:rPr>
          <w:rFonts w:hint="eastAsia" w:ascii="仿宋" w:hAnsi="仿宋" w:eastAsia="仿宋" w:cs="仿宋"/>
          <w:color w:val="auto"/>
          <w:sz w:val="24"/>
          <w:highlight w:val="none"/>
          <w:lang w:eastAsia="zh-CN"/>
        </w:rPr>
      </w:pPr>
      <w:r>
        <w:rPr>
          <w:rFonts w:ascii="Calibri" w:hAnsi="Calibri" w:eastAsia="仿宋" w:cs="Calibri"/>
          <w:color w:val="auto"/>
          <w:sz w:val="24"/>
          <w:highlight w:val="none"/>
        </w:rPr>
        <w:t>    </w:t>
      </w:r>
      <w:r>
        <w:rPr>
          <w:rFonts w:hint="eastAsia" w:ascii="仿宋" w:hAnsi="仿宋" w:eastAsia="仿宋" w:cs="仿宋"/>
          <w:color w:val="auto"/>
          <w:sz w:val="24"/>
          <w:highlight w:val="none"/>
        </w:rPr>
        <w:t>（一）以行贿谋取中标；</w:t>
      </w:r>
    </w:p>
    <w:p w14:paraId="6D54C511">
      <w:pPr>
        <w:snapToGrid w:val="0"/>
        <w:spacing w:line="360" w:lineRule="auto"/>
        <w:ind w:firstLine="470" w:firstLineChars="196"/>
        <w:rPr>
          <w:rFonts w:hint="eastAsia" w:ascii="仿宋" w:hAnsi="仿宋" w:eastAsia="仿宋" w:cs="仿宋"/>
          <w:color w:val="auto"/>
          <w:sz w:val="24"/>
          <w:highlight w:val="none"/>
          <w:lang w:eastAsia="zh-CN"/>
        </w:rPr>
      </w:pPr>
      <w:r>
        <w:rPr>
          <w:rFonts w:ascii="Calibri" w:hAnsi="Calibri" w:eastAsia="仿宋" w:cs="Calibri"/>
          <w:color w:val="auto"/>
          <w:sz w:val="24"/>
          <w:highlight w:val="none"/>
        </w:rPr>
        <w:t>    </w:t>
      </w:r>
      <w:r>
        <w:rPr>
          <w:rFonts w:hint="eastAsia" w:ascii="仿宋" w:hAnsi="仿宋" w:eastAsia="仿宋" w:cs="仿宋"/>
          <w:color w:val="auto"/>
          <w:sz w:val="24"/>
          <w:highlight w:val="none"/>
        </w:rPr>
        <w:t>（二）3年内2次以上串通投标；</w:t>
      </w:r>
    </w:p>
    <w:p w14:paraId="7E73925C">
      <w:pPr>
        <w:snapToGrid w:val="0"/>
        <w:spacing w:line="360" w:lineRule="auto"/>
        <w:ind w:firstLine="470" w:firstLineChars="196"/>
        <w:rPr>
          <w:rFonts w:hint="eastAsia" w:ascii="仿宋" w:hAnsi="仿宋" w:eastAsia="仿宋" w:cs="仿宋"/>
          <w:color w:val="auto"/>
          <w:sz w:val="24"/>
          <w:highlight w:val="none"/>
          <w:lang w:eastAsia="zh-CN"/>
        </w:rPr>
      </w:pPr>
      <w:r>
        <w:rPr>
          <w:rFonts w:ascii="Calibri" w:hAnsi="Calibri" w:eastAsia="仿宋" w:cs="Calibri"/>
          <w:color w:val="auto"/>
          <w:sz w:val="24"/>
          <w:highlight w:val="none"/>
        </w:rPr>
        <w:t>    </w:t>
      </w:r>
      <w:r>
        <w:rPr>
          <w:rFonts w:hint="eastAsia" w:ascii="仿宋" w:hAnsi="仿宋" w:eastAsia="仿宋" w:cs="仿宋"/>
          <w:color w:val="auto"/>
          <w:sz w:val="24"/>
          <w:highlight w:val="none"/>
        </w:rPr>
        <w:t>（三）串通投标行为损害招标人、其他投标人或者国家、集体、公民的合法利益，造成直接经济损失30万元以上；</w:t>
      </w:r>
    </w:p>
    <w:p w14:paraId="62BF1742">
      <w:pPr>
        <w:snapToGrid w:val="0"/>
        <w:spacing w:line="360" w:lineRule="auto"/>
        <w:ind w:firstLine="470" w:firstLineChars="196"/>
        <w:rPr>
          <w:rFonts w:hint="eastAsia" w:ascii="仿宋" w:hAnsi="仿宋" w:eastAsia="仿宋" w:cs="仿宋"/>
          <w:color w:val="auto"/>
          <w:sz w:val="24"/>
          <w:highlight w:val="none"/>
          <w:lang w:eastAsia="zh-CN"/>
        </w:rPr>
      </w:pPr>
      <w:r>
        <w:rPr>
          <w:rFonts w:ascii="Calibri" w:hAnsi="Calibri" w:eastAsia="仿宋" w:cs="Calibri"/>
          <w:color w:val="auto"/>
          <w:sz w:val="24"/>
          <w:highlight w:val="none"/>
        </w:rPr>
        <w:t>    </w:t>
      </w:r>
      <w:r>
        <w:rPr>
          <w:rFonts w:hint="eastAsia" w:ascii="仿宋" w:hAnsi="仿宋" w:eastAsia="仿宋" w:cs="仿宋"/>
          <w:color w:val="auto"/>
          <w:sz w:val="24"/>
          <w:highlight w:val="none"/>
        </w:rPr>
        <w:t>（四）其他串通投标情节严重的行为。</w:t>
      </w:r>
    </w:p>
    <w:p w14:paraId="560C8583">
      <w:pPr>
        <w:snapToGrid w:val="0"/>
        <w:spacing w:line="360" w:lineRule="auto"/>
        <w:ind w:firstLine="470" w:firstLineChars="196"/>
        <w:rPr>
          <w:rFonts w:hint="eastAsia" w:ascii="仿宋" w:hAnsi="仿宋" w:eastAsia="仿宋" w:cs="仿宋"/>
          <w:color w:val="auto"/>
          <w:sz w:val="24"/>
          <w:highlight w:val="none"/>
          <w:lang w:eastAsia="zh-CN"/>
        </w:rPr>
      </w:pPr>
      <w:r>
        <w:rPr>
          <w:rFonts w:ascii="Calibri" w:hAnsi="Calibri" w:eastAsia="仿宋" w:cs="Calibri"/>
          <w:color w:val="auto"/>
          <w:sz w:val="24"/>
          <w:highlight w:val="none"/>
        </w:rPr>
        <w:t>    </w:t>
      </w:r>
      <w:r>
        <w:rPr>
          <w:rFonts w:hint="eastAsia" w:ascii="仿宋" w:hAnsi="仿宋" w:eastAsia="仿宋" w:cs="仿宋"/>
          <w:color w:val="auto"/>
          <w:sz w:val="24"/>
          <w:highlight w:val="none"/>
        </w:rPr>
        <w:t>投标人自本条第二款规定的处罚执行期限届满之日起3年内又有该款所列违法行为之一的，或者串通投标、以行贿谋取中标情节特别严重的，由工商行政管理机关吊销营业执照。</w:t>
      </w:r>
    </w:p>
    <w:p w14:paraId="6F99F806">
      <w:pPr>
        <w:snapToGrid w:val="0"/>
        <w:spacing w:line="360" w:lineRule="auto"/>
        <w:ind w:firstLine="470" w:firstLineChars="196"/>
        <w:rPr>
          <w:rFonts w:ascii="仿宋" w:hAnsi="仿宋" w:eastAsia="仿宋" w:cs="仿宋"/>
          <w:color w:val="auto"/>
          <w:sz w:val="24"/>
          <w:highlight w:val="none"/>
        </w:rPr>
      </w:pPr>
      <w:r>
        <w:rPr>
          <w:rFonts w:ascii="Calibri" w:hAnsi="Calibri" w:eastAsia="仿宋" w:cs="Calibri"/>
          <w:color w:val="auto"/>
          <w:sz w:val="24"/>
          <w:highlight w:val="none"/>
        </w:rPr>
        <w:t>    </w:t>
      </w:r>
      <w:r>
        <w:rPr>
          <w:rFonts w:hint="eastAsia" w:ascii="仿宋" w:hAnsi="仿宋" w:eastAsia="仿宋" w:cs="仿宋"/>
          <w:color w:val="auto"/>
          <w:sz w:val="24"/>
          <w:highlight w:val="none"/>
        </w:rPr>
        <w:t>法律、行政法规对串通投标报价行为的处罚另有规定的，从其规定。</w:t>
      </w:r>
    </w:p>
    <w:p w14:paraId="054F87E4">
      <w:pPr>
        <w:spacing w:after="60" w:line="360" w:lineRule="auto"/>
        <w:ind w:firstLine="482"/>
        <w:rPr>
          <w:rFonts w:ascii="仿宋" w:hAnsi="仿宋" w:eastAsia="仿宋" w:cs="仿宋"/>
          <w:color w:val="auto"/>
          <w:sz w:val="24"/>
          <w:highlight w:val="none"/>
        </w:rPr>
      </w:pPr>
      <w:r>
        <w:rPr>
          <w:rFonts w:hint="eastAsia" w:ascii="仿宋" w:hAnsi="仿宋" w:eastAsia="仿宋" w:cs="仿宋"/>
          <w:b/>
          <w:color w:val="auto"/>
          <w:kern w:val="0"/>
          <w:sz w:val="24"/>
          <w:highlight w:val="none"/>
        </w:rPr>
        <w:t xml:space="preserve">三、《中华人民共和国招标投标法实施条例》第七十六条 </w:t>
      </w:r>
      <w:r>
        <w:rPr>
          <w:rFonts w:hint="eastAsia" w:ascii="仿宋" w:hAnsi="仿宋" w:eastAsia="仿宋" w:cs="仿宋"/>
          <w:color w:val="auto"/>
          <w:sz w:val="24"/>
          <w:highlight w:val="none"/>
        </w:rPr>
        <w:t>中标人将中标项目转让给他人的，将中标项目肢解后分别转让给他人的，违反招标投标法和本条例规定将中标项目的部分主体、关键性工作分包给他人的，或者分包人再次分包的，转让、分包无效，处转让、分包项目金额5‰以上10‰以下的罚款；有违法所得的，并处没收违法所得；可以责令停业整顿；情节严重的，由工商行政管理机关吊销营业执照。</w:t>
      </w:r>
    </w:p>
    <w:p w14:paraId="68489AA5">
      <w:pPr>
        <w:rPr>
          <w:color w:val="auto"/>
          <w:highlight w:val="none"/>
        </w:rPr>
      </w:pPr>
    </w:p>
    <w:p w14:paraId="49DA993B">
      <w:pPr>
        <w:pStyle w:val="2"/>
        <w:pageBreakBefore/>
        <w:rPr>
          <w:color w:val="auto"/>
          <w:highlight w:val="none"/>
        </w:rPr>
      </w:pPr>
    </w:p>
    <w:p w14:paraId="2FA3F0EC">
      <w:pPr>
        <w:rPr>
          <w:color w:val="auto"/>
          <w:highlight w:val="none"/>
        </w:rPr>
      </w:pPr>
    </w:p>
    <w:p w14:paraId="502107A2">
      <w:pPr>
        <w:rPr>
          <w:color w:val="auto"/>
          <w:highlight w:val="none"/>
        </w:rPr>
      </w:pPr>
    </w:p>
    <w:p w14:paraId="147736D6">
      <w:pPr>
        <w:rPr>
          <w:color w:val="auto"/>
          <w:highlight w:val="none"/>
        </w:rPr>
      </w:pPr>
    </w:p>
    <w:p w14:paraId="62440635">
      <w:pPr>
        <w:rPr>
          <w:color w:val="auto"/>
          <w:highlight w:val="none"/>
        </w:rPr>
      </w:pPr>
    </w:p>
    <w:p w14:paraId="35351FD6">
      <w:pPr>
        <w:rPr>
          <w:color w:val="auto"/>
          <w:highlight w:val="none"/>
        </w:rPr>
      </w:pPr>
    </w:p>
    <w:p w14:paraId="0DC8ED95">
      <w:pPr>
        <w:rPr>
          <w:color w:val="auto"/>
          <w:highlight w:val="none"/>
        </w:rPr>
      </w:pPr>
    </w:p>
    <w:p w14:paraId="7F65E374">
      <w:pPr>
        <w:rPr>
          <w:color w:val="auto"/>
          <w:highlight w:val="none"/>
        </w:rPr>
      </w:pPr>
    </w:p>
    <w:p w14:paraId="3E2684B6">
      <w:pPr>
        <w:rPr>
          <w:color w:val="auto"/>
          <w:highlight w:val="none"/>
        </w:rPr>
      </w:pPr>
    </w:p>
    <w:p w14:paraId="3BE3F3B5">
      <w:pPr>
        <w:rPr>
          <w:color w:val="auto"/>
          <w:highlight w:val="none"/>
        </w:rPr>
      </w:pPr>
    </w:p>
    <w:p w14:paraId="4D2D561D">
      <w:pPr>
        <w:rPr>
          <w:color w:val="auto"/>
          <w:highlight w:val="none"/>
        </w:rPr>
      </w:pPr>
    </w:p>
    <w:p w14:paraId="57A98625">
      <w:pPr>
        <w:rPr>
          <w:color w:val="auto"/>
          <w:highlight w:val="none"/>
        </w:rPr>
      </w:pPr>
    </w:p>
    <w:p w14:paraId="62C787CF">
      <w:pPr>
        <w:rPr>
          <w:color w:val="auto"/>
          <w:highlight w:val="none"/>
        </w:rPr>
      </w:pPr>
    </w:p>
    <w:p w14:paraId="596ED5B3">
      <w:pPr>
        <w:rPr>
          <w:color w:val="auto"/>
          <w:highlight w:val="none"/>
        </w:rPr>
      </w:pPr>
    </w:p>
    <w:p w14:paraId="04371657">
      <w:pPr>
        <w:rPr>
          <w:color w:val="auto"/>
          <w:highlight w:val="none"/>
        </w:rPr>
      </w:pPr>
    </w:p>
    <w:p w14:paraId="23ACD09C">
      <w:pPr>
        <w:rPr>
          <w:color w:val="auto"/>
          <w:highlight w:val="none"/>
        </w:rPr>
      </w:pPr>
    </w:p>
    <w:p w14:paraId="60C3C5BD">
      <w:pPr>
        <w:rPr>
          <w:color w:val="auto"/>
          <w:highlight w:val="none"/>
        </w:rPr>
      </w:pPr>
    </w:p>
    <w:p w14:paraId="4B685613">
      <w:pPr>
        <w:pStyle w:val="40"/>
        <w:spacing w:before="120" w:after="120"/>
        <w:rPr>
          <w:b w:val="0"/>
          <w:color w:val="auto"/>
          <w:highlight w:val="none"/>
        </w:rPr>
      </w:pPr>
      <w:bookmarkStart w:id="12" w:name="_Toc3785"/>
      <w:bookmarkStart w:id="13" w:name="_Toc17922"/>
      <w:bookmarkStart w:id="14" w:name="_Toc128564752"/>
      <w:bookmarkStart w:id="15" w:name="_Toc21430"/>
      <w:bookmarkStart w:id="16" w:name="_Toc29035"/>
      <w:bookmarkStart w:id="17" w:name="_Toc24726"/>
      <w:bookmarkStart w:id="18" w:name="_Toc32494"/>
      <w:bookmarkStart w:id="19" w:name="_Toc27995"/>
      <w:bookmarkStart w:id="20" w:name="_Toc3640"/>
      <w:bookmarkStart w:id="21" w:name="_Toc13272"/>
      <w:bookmarkStart w:id="22" w:name="_Toc8043"/>
      <w:r>
        <w:rPr>
          <w:rFonts w:hint="eastAsia" w:eastAsia="黑体"/>
          <w:b w:val="0"/>
          <w:color w:val="auto"/>
          <w:sz w:val="44"/>
          <w:highlight w:val="none"/>
        </w:rPr>
        <w:t>第一册 通用条款</w:t>
      </w:r>
      <w:bookmarkEnd w:id="12"/>
      <w:bookmarkEnd w:id="13"/>
      <w:bookmarkEnd w:id="14"/>
      <w:bookmarkEnd w:id="15"/>
      <w:bookmarkEnd w:id="16"/>
      <w:bookmarkEnd w:id="17"/>
      <w:bookmarkEnd w:id="18"/>
      <w:bookmarkEnd w:id="19"/>
      <w:bookmarkEnd w:id="20"/>
      <w:bookmarkEnd w:id="21"/>
      <w:bookmarkEnd w:id="22"/>
    </w:p>
    <w:p w14:paraId="49121A28">
      <w:pPr>
        <w:rPr>
          <w:color w:val="auto"/>
          <w:highlight w:val="none"/>
        </w:rPr>
      </w:pPr>
    </w:p>
    <w:p w14:paraId="19FF0A3A">
      <w:pPr>
        <w:pageBreakBefore/>
        <w:jc w:val="center"/>
        <w:outlineLvl w:val="1"/>
        <w:rPr>
          <w:rFonts w:ascii="黑体" w:hAnsi="黑体" w:eastAsia="黑体"/>
          <w:color w:val="auto"/>
          <w:sz w:val="32"/>
          <w:szCs w:val="32"/>
          <w:highlight w:val="none"/>
        </w:rPr>
      </w:pPr>
      <w:bookmarkStart w:id="23" w:name="_Toc23314"/>
      <w:bookmarkStart w:id="24" w:name="_Toc16068"/>
      <w:bookmarkStart w:id="25" w:name="_Toc101432964"/>
      <w:bookmarkStart w:id="26" w:name="_Toc100319568"/>
      <w:bookmarkStart w:id="27" w:name="_Toc2254"/>
      <w:bookmarkStart w:id="28" w:name="_Toc5090"/>
      <w:bookmarkStart w:id="29" w:name="_Toc26224"/>
      <w:bookmarkStart w:id="30" w:name="_Toc6220"/>
      <w:bookmarkStart w:id="31" w:name="_Toc31376"/>
      <w:bookmarkStart w:id="32" w:name="_Toc601"/>
      <w:bookmarkStart w:id="33" w:name="_Toc128564753"/>
      <w:bookmarkStart w:id="34" w:name="_Toc23292"/>
      <w:bookmarkStart w:id="35" w:name="_Toc15405"/>
      <w:bookmarkStart w:id="36" w:name="_Toc17857"/>
      <w:bookmarkStart w:id="37" w:name="_Toc22324"/>
      <w:bookmarkStart w:id="38" w:name="_Toc15891"/>
      <w:bookmarkStart w:id="39" w:name="_Toc1214"/>
      <w:bookmarkStart w:id="40" w:name="_Toc22001"/>
      <w:bookmarkStart w:id="41" w:name="_Toc20144"/>
      <w:bookmarkStart w:id="42" w:name="_Toc2218"/>
      <w:bookmarkStart w:id="43" w:name="_Toc3619"/>
      <w:bookmarkStart w:id="44" w:name="_Toc9387"/>
      <w:r>
        <w:rPr>
          <w:rFonts w:hint="eastAsia" w:ascii="黑体" w:hAnsi="黑体" w:eastAsia="黑体"/>
          <w:color w:val="auto"/>
          <w:sz w:val="32"/>
          <w:szCs w:val="32"/>
          <w:highlight w:val="none"/>
        </w:rPr>
        <w:t>第一章  总则</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1F98848A">
      <w:pPr>
        <w:spacing w:line="360" w:lineRule="auto"/>
        <w:rPr>
          <w:rFonts w:ascii="黑体" w:hAnsi="黑体" w:eastAsia="黑体" w:cs="黑体"/>
          <w:color w:val="auto"/>
          <w:sz w:val="24"/>
          <w:highlight w:val="none"/>
        </w:rPr>
      </w:pPr>
      <w:r>
        <w:rPr>
          <w:rFonts w:hint="eastAsia" w:ascii="黑体" w:hAnsi="黑体" w:eastAsia="黑体" w:cs="黑体"/>
          <w:color w:val="auto"/>
          <w:sz w:val="24"/>
          <w:highlight w:val="none"/>
        </w:rPr>
        <w:t>1．招标说明</w:t>
      </w:r>
      <w:bookmarkEnd w:id="42"/>
      <w:bookmarkEnd w:id="43"/>
      <w:bookmarkEnd w:id="44"/>
    </w:p>
    <w:p w14:paraId="460A77FF">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本项目参照《中华人民共和国招标投标法》及其实施条例等有关规定，并参考有关法规、政策、规章、规定，通过公开招标择优选定</w:t>
      </w:r>
      <w:r>
        <w:rPr>
          <w:rFonts w:hint="eastAsia" w:ascii="仿宋" w:hAnsi="仿宋" w:eastAsia="仿宋" w:cs="仿宋"/>
          <w:color w:val="auto"/>
          <w:sz w:val="22"/>
          <w:szCs w:val="22"/>
          <w:highlight w:val="none"/>
          <w:lang w:val="en-US" w:eastAsia="zh-CN"/>
        </w:rPr>
        <w:t>供应商</w:t>
      </w:r>
      <w:r>
        <w:rPr>
          <w:rFonts w:hint="eastAsia" w:ascii="仿宋" w:hAnsi="仿宋" w:eastAsia="仿宋" w:cs="仿宋"/>
          <w:color w:val="auto"/>
          <w:sz w:val="22"/>
          <w:szCs w:val="22"/>
          <w:highlight w:val="none"/>
        </w:rPr>
        <w:t>。</w:t>
      </w:r>
    </w:p>
    <w:p w14:paraId="7A27EFE6">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本招标文件适用于</w:t>
      </w:r>
      <w:r>
        <w:rPr>
          <w:rFonts w:hint="eastAsia" w:ascii="仿宋" w:hAnsi="仿宋" w:eastAsia="仿宋" w:cs="仿宋"/>
          <w:b/>
          <w:color w:val="auto"/>
          <w:sz w:val="22"/>
          <w:szCs w:val="22"/>
          <w:highlight w:val="none"/>
          <w:lang w:val="en-US" w:eastAsia="zh-CN"/>
        </w:rPr>
        <w:t>工程</w:t>
      </w:r>
      <w:r>
        <w:rPr>
          <w:rFonts w:hint="eastAsia" w:ascii="仿宋" w:hAnsi="仿宋" w:eastAsia="仿宋" w:cs="仿宋"/>
          <w:color w:val="auto"/>
          <w:sz w:val="22"/>
          <w:szCs w:val="22"/>
          <w:highlight w:val="none"/>
        </w:rPr>
        <w:t>采购项目。</w:t>
      </w:r>
    </w:p>
    <w:p w14:paraId="771EF143">
      <w:pPr>
        <w:snapToGrid w:val="0"/>
        <w:spacing w:line="360" w:lineRule="auto"/>
        <w:ind w:firstLine="431" w:firstLineChars="196"/>
        <w:rPr>
          <w:color w:val="auto"/>
          <w:highlight w:val="none"/>
        </w:rPr>
      </w:pPr>
      <w:r>
        <w:rPr>
          <w:rFonts w:hint="eastAsia" w:ascii="仿宋" w:hAnsi="仿宋" w:eastAsia="仿宋" w:cs="仿宋"/>
          <w:color w:val="auto"/>
          <w:sz w:val="22"/>
          <w:szCs w:val="22"/>
          <w:highlight w:val="none"/>
        </w:rPr>
        <w:t>本项目的投标货币应以人民币计。</w:t>
      </w:r>
    </w:p>
    <w:p w14:paraId="00E07199">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本招标文件的解释权归属</w:t>
      </w:r>
      <w:r>
        <w:rPr>
          <w:rFonts w:hint="eastAsia" w:ascii="仿宋" w:hAnsi="仿宋" w:eastAsia="仿宋" w:cs="仿宋"/>
          <w:b/>
          <w:bCs/>
          <w:color w:val="auto"/>
          <w:sz w:val="22"/>
          <w:szCs w:val="22"/>
          <w:highlight w:val="none"/>
        </w:rPr>
        <w:t>深圳市宝安区建设工程监理有限公司</w:t>
      </w:r>
      <w:r>
        <w:rPr>
          <w:rFonts w:hint="eastAsia" w:ascii="仿宋" w:hAnsi="仿宋" w:eastAsia="仿宋" w:cs="仿宋"/>
          <w:color w:val="auto"/>
          <w:sz w:val="22"/>
          <w:szCs w:val="22"/>
          <w:highlight w:val="none"/>
        </w:rPr>
        <w:t>。</w:t>
      </w:r>
    </w:p>
    <w:p w14:paraId="136C0F91">
      <w:pPr>
        <w:spacing w:line="360" w:lineRule="auto"/>
        <w:rPr>
          <w:rFonts w:ascii="黑体" w:hAnsi="黑体" w:eastAsia="黑体" w:cs="黑体"/>
          <w:color w:val="auto"/>
          <w:sz w:val="24"/>
          <w:highlight w:val="none"/>
        </w:rPr>
      </w:pPr>
      <w:bookmarkStart w:id="45" w:name="_Toc13338"/>
      <w:bookmarkStart w:id="46" w:name="_Toc27296"/>
      <w:bookmarkStart w:id="47" w:name="_Toc2553"/>
      <w:r>
        <w:rPr>
          <w:rFonts w:hint="eastAsia" w:ascii="黑体" w:hAnsi="黑体" w:eastAsia="黑体" w:cs="黑体"/>
          <w:color w:val="auto"/>
          <w:sz w:val="24"/>
          <w:highlight w:val="none"/>
        </w:rPr>
        <w:t>2．定义</w:t>
      </w:r>
      <w:bookmarkEnd w:id="45"/>
      <w:bookmarkEnd w:id="46"/>
      <w:bookmarkEnd w:id="47"/>
    </w:p>
    <w:p w14:paraId="4691AD59">
      <w:pPr>
        <w:snapToGrid w:val="0"/>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招标文件中下列术语应解释为：</w:t>
      </w:r>
    </w:p>
    <w:p w14:paraId="2688CB64">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2.1 “</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机构”、“代理机构”，系</w:t>
      </w:r>
      <w:r>
        <w:rPr>
          <w:rFonts w:hint="eastAsia" w:ascii="仿宋" w:hAnsi="仿宋" w:eastAsia="仿宋" w:cs="仿宋"/>
          <w:color w:val="auto"/>
          <w:spacing w:val="8"/>
          <w:sz w:val="22"/>
          <w:szCs w:val="28"/>
          <w:highlight w:val="none"/>
        </w:rPr>
        <w:t>指根据</w:t>
      </w:r>
      <w:r>
        <w:rPr>
          <w:rFonts w:hint="eastAsia" w:ascii="仿宋" w:hAnsi="仿宋" w:eastAsia="仿宋" w:cs="仿宋"/>
          <w:color w:val="auto"/>
          <w:spacing w:val="8"/>
          <w:sz w:val="22"/>
          <w:szCs w:val="28"/>
          <w:highlight w:val="none"/>
          <w:lang w:eastAsia="zh-CN"/>
        </w:rPr>
        <w:t>招标人</w:t>
      </w:r>
      <w:r>
        <w:rPr>
          <w:rFonts w:hint="eastAsia" w:ascii="仿宋" w:hAnsi="仿宋" w:eastAsia="仿宋" w:cs="仿宋"/>
          <w:color w:val="auto"/>
          <w:spacing w:val="8"/>
          <w:sz w:val="22"/>
          <w:szCs w:val="28"/>
          <w:highlight w:val="none"/>
        </w:rPr>
        <w:t>的委托，代理本项目</w:t>
      </w:r>
      <w:r>
        <w:rPr>
          <w:rFonts w:hint="eastAsia" w:ascii="仿宋" w:hAnsi="仿宋" w:eastAsia="仿宋" w:cs="仿宋"/>
          <w:color w:val="auto"/>
          <w:spacing w:val="8"/>
          <w:sz w:val="22"/>
          <w:szCs w:val="28"/>
          <w:highlight w:val="none"/>
          <w:lang w:eastAsia="zh-CN"/>
        </w:rPr>
        <w:t>招标</w:t>
      </w:r>
      <w:r>
        <w:rPr>
          <w:rFonts w:hint="eastAsia" w:ascii="仿宋" w:hAnsi="仿宋" w:eastAsia="仿宋" w:cs="仿宋"/>
          <w:color w:val="auto"/>
          <w:spacing w:val="8"/>
          <w:sz w:val="22"/>
          <w:szCs w:val="28"/>
          <w:highlight w:val="none"/>
        </w:rPr>
        <w:t>事宜的机构，在此特指拥有</w:t>
      </w:r>
      <w:r>
        <w:rPr>
          <w:rFonts w:hint="eastAsia" w:ascii="仿宋" w:hAnsi="仿宋" w:eastAsia="仿宋" w:cs="仿宋"/>
          <w:color w:val="auto"/>
          <w:spacing w:val="8"/>
          <w:sz w:val="22"/>
          <w:szCs w:val="28"/>
          <w:highlight w:val="none"/>
          <w:lang w:eastAsia="zh-CN"/>
        </w:rPr>
        <w:t>招标代理</w:t>
      </w:r>
      <w:r>
        <w:rPr>
          <w:rFonts w:hint="eastAsia" w:ascii="仿宋" w:hAnsi="仿宋" w:eastAsia="仿宋" w:cs="仿宋"/>
          <w:color w:val="auto"/>
          <w:spacing w:val="8"/>
          <w:sz w:val="22"/>
          <w:szCs w:val="28"/>
          <w:highlight w:val="none"/>
        </w:rPr>
        <w:t>资格的</w:t>
      </w:r>
      <w:r>
        <w:rPr>
          <w:rFonts w:hint="eastAsia" w:ascii="仿宋" w:hAnsi="仿宋" w:eastAsia="仿宋" w:cs="仿宋"/>
          <w:b/>
          <w:color w:val="auto"/>
          <w:spacing w:val="8"/>
          <w:sz w:val="22"/>
          <w:szCs w:val="28"/>
          <w:highlight w:val="none"/>
        </w:rPr>
        <w:t>深圳市宝安区建设工程监理有限公司</w:t>
      </w:r>
      <w:r>
        <w:rPr>
          <w:rFonts w:hint="eastAsia" w:ascii="仿宋" w:hAnsi="仿宋" w:eastAsia="仿宋" w:cs="仿宋"/>
          <w:color w:val="auto"/>
          <w:spacing w:val="8"/>
          <w:sz w:val="22"/>
          <w:szCs w:val="28"/>
          <w:highlight w:val="none"/>
        </w:rPr>
        <w:t>。</w:t>
      </w:r>
    </w:p>
    <w:p w14:paraId="41C4CAC8">
      <w:pPr>
        <w:snapToGrid w:val="0"/>
        <w:spacing w:line="360" w:lineRule="auto"/>
        <w:ind w:firstLine="440" w:firstLineChars="200"/>
        <w:rPr>
          <w:rFonts w:ascii="仿宋" w:hAnsi="仿宋" w:eastAsia="仿宋" w:cs="仿宋"/>
          <w:bCs/>
          <w:color w:val="auto"/>
          <w:sz w:val="22"/>
          <w:szCs w:val="22"/>
          <w:highlight w:val="none"/>
        </w:rPr>
      </w:pPr>
      <w:r>
        <w:rPr>
          <w:rFonts w:hint="eastAsia" w:ascii="仿宋" w:hAnsi="仿宋" w:eastAsia="仿宋" w:cs="仿宋"/>
          <w:color w:val="auto"/>
          <w:sz w:val="22"/>
          <w:szCs w:val="22"/>
          <w:highlight w:val="none"/>
        </w:rPr>
        <w:t xml:space="preserve">2.2 “招标人”、“采购人”、“招标方”：系指利用财政性资金或自有资金依法进行招标的国家机关、企事业单位、团体组织，在此特指深圳市长筑路桥工程有限公司。 </w:t>
      </w:r>
    </w:p>
    <w:p w14:paraId="2E52A697">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2.3 “投标人”、“投标方”，即</w:t>
      </w:r>
      <w:r>
        <w:rPr>
          <w:rFonts w:hint="eastAsia" w:ascii="仿宋" w:hAnsi="仿宋" w:eastAsia="仿宋" w:cs="仿宋"/>
          <w:color w:val="auto"/>
          <w:sz w:val="22"/>
          <w:szCs w:val="22"/>
          <w:highlight w:val="none"/>
          <w:lang w:val="en-US" w:eastAsia="zh-CN"/>
        </w:rPr>
        <w:t>供应商</w:t>
      </w:r>
      <w:r>
        <w:rPr>
          <w:rFonts w:hint="eastAsia" w:ascii="仿宋" w:hAnsi="仿宋" w:eastAsia="仿宋" w:cs="仿宋"/>
          <w:color w:val="auto"/>
          <w:sz w:val="22"/>
          <w:szCs w:val="22"/>
          <w:highlight w:val="none"/>
        </w:rPr>
        <w:t>，是指愿意按照招标文件要求向</w:t>
      </w:r>
      <w:r>
        <w:rPr>
          <w:rFonts w:hint="eastAsia" w:ascii="仿宋" w:hAnsi="仿宋" w:eastAsia="仿宋" w:cs="仿宋"/>
          <w:color w:val="auto"/>
          <w:sz w:val="22"/>
          <w:szCs w:val="22"/>
          <w:highlight w:val="none"/>
          <w:lang w:eastAsia="zh-CN"/>
        </w:rPr>
        <w:t>招标人</w:t>
      </w:r>
      <w:r>
        <w:rPr>
          <w:rFonts w:hint="eastAsia" w:ascii="仿宋" w:hAnsi="仿宋" w:eastAsia="仿宋" w:cs="仿宋"/>
          <w:color w:val="auto"/>
          <w:sz w:val="22"/>
          <w:szCs w:val="22"/>
          <w:highlight w:val="none"/>
        </w:rPr>
        <w:t>提供服务的法人、其他组织或者自然人。</w:t>
      </w:r>
    </w:p>
    <w:p w14:paraId="39057365">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2.4 “评审委员会”是依据《中华人民共和国招标投标法》有关规定组建的专门负责本项目评标工作的临时性机构。</w:t>
      </w:r>
    </w:p>
    <w:p w14:paraId="73AD0986">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2.5 “日期”指公历日。</w:t>
      </w:r>
    </w:p>
    <w:p w14:paraId="6DE9AFE7">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2.6 “合同”指由本次招标所产生的合同或合约文件。</w:t>
      </w:r>
    </w:p>
    <w:p w14:paraId="56720BCD">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2.7 “纸质投标文件”指根据本招标文件模板的要求规范填写，打印输出并盖有单位公章的投标文件原件。</w:t>
      </w:r>
    </w:p>
    <w:p w14:paraId="1B6A93F3">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2.8 “现场投标”指在规定时间内直接向</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机构（深圳市宝安区建设工程监理有限公司）提交纸质投标文件。</w:t>
      </w:r>
    </w:p>
    <w:p w14:paraId="60633B8D">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2.9 招标文件中的标题或题名仅起引导作用，而不应视为对招标文件内容的理解和解释。</w:t>
      </w:r>
    </w:p>
    <w:p w14:paraId="53A68F6F">
      <w:pPr>
        <w:spacing w:line="360" w:lineRule="auto"/>
        <w:rPr>
          <w:rFonts w:ascii="黑体" w:hAnsi="黑体" w:eastAsia="黑体" w:cs="黑体"/>
          <w:color w:val="auto"/>
          <w:sz w:val="24"/>
          <w:highlight w:val="none"/>
        </w:rPr>
      </w:pPr>
      <w:bookmarkStart w:id="48" w:name="_Toc12017"/>
      <w:bookmarkStart w:id="49" w:name="_Toc6298"/>
      <w:bookmarkStart w:id="50" w:name="_Toc220"/>
      <w:r>
        <w:rPr>
          <w:rFonts w:hint="eastAsia" w:ascii="黑体" w:hAnsi="黑体" w:eastAsia="黑体" w:cs="黑体"/>
          <w:color w:val="auto"/>
          <w:sz w:val="24"/>
          <w:highlight w:val="none"/>
        </w:rPr>
        <w:t>3．投标人的资质要求</w:t>
      </w:r>
      <w:bookmarkEnd w:id="48"/>
      <w:bookmarkEnd w:id="49"/>
      <w:bookmarkEnd w:id="50"/>
    </w:p>
    <w:p w14:paraId="6F1AFC53">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3.1 参加本项目公开招标</w:t>
      </w:r>
      <w:r>
        <w:rPr>
          <w:rFonts w:hint="eastAsia" w:ascii="仿宋" w:hAnsi="仿宋" w:eastAsia="仿宋" w:cs="仿宋"/>
          <w:color w:val="auto"/>
          <w:sz w:val="22"/>
          <w:szCs w:val="22"/>
          <w:highlight w:val="none"/>
          <w:lang w:eastAsia="zh-CN"/>
        </w:rPr>
        <w:t>招标</w:t>
      </w:r>
      <w:r>
        <w:rPr>
          <w:rFonts w:hint="eastAsia" w:ascii="仿宋" w:hAnsi="仿宋" w:eastAsia="仿宋" w:cs="仿宋"/>
          <w:color w:val="auto"/>
          <w:sz w:val="22"/>
          <w:szCs w:val="22"/>
          <w:highlight w:val="none"/>
        </w:rPr>
        <w:t>活动投标人应当具备条件：</w:t>
      </w:r>
      <w:r>
        <w:rPr>
          <w:rFonts w:hint="eastAsia" w:ascii="仿宋" w:hAnsi="仿宋" w:eastAsia="仿宋" w:cs="仿宋"/>
          <w:b/>
          <w:bCs/>
          <w:color w:val="auto"/>
          <w:sz w:val="22"/>
          <w:szCs w:val="22"/>
          <w:highlight w:val="none"/>
        </w:rPr>
        <w:t>见招标公告有关资质要求。</w:t>
      </w:r>
    </w:p>
    <w:p w14:paraId="736DCCEF">
      <w:pPr>
        <w:spacing w:line="360" w:lineRule="auto"/>
        <w:rPr>
          <w:rFonts w:ascii="黑体" w:hAnsi="黑体" w:eastAsia="黑体" w:cs="黑体"/>
          <w:color w:val="auto"/>
          <w:sz w:val="24"/>
          <w:highlight w:val="none"/>
        </w:rPr>
      </w:pPr>
      <w:bookmarkStart w:id="51" w:name="_Toc22312"/>
      <w:bookmarkStart w:id="52" w:name="_Toc3146"/>
      <w:bookmarkStart w:id="53" w:name="_Toc13118"/>
      <w:r>
        <w:rPr>
          <w:rFonts w:hint="eastAsia" w:ascii="黑体" w:hAnsi="黑体" w:eastAsia="黑体" w:cs="黑体"/>
          <w:color w:val="auto"/>
          <w:sz w:val="24"/>
          <w:highlight w:val="none"/>
        </w:rPr>
        <w:t>4．联合体投标</w:t>
      </w:r>
      <w:bookmarkEnd w:id="51"/>
      <w:bookmarkEnd w:id="52"/>
      <w:bookmarkEnd w:id="53"/>
    </w:p>
    <w:p w14:paraId="6C986968">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4.1 除非招标公告中允许投标人组成联合体投标，否则以下有关联合体投标的条款不予考虑。</w:t>
      </w:r>
    </w:p>
    <w:p w14:paraId="449B64D0">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4.2 由两个或两个以上法人组成一个联合体以一个投标人的身份共同投标时，应符合以下原则：</w:t>
      </w:r>
    </w:p>
    <w:p w14:paraId="027901A8">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（1）投标联合体各方参加采购活动应当具备下列条件：</w:t>
      </w:r>
    </w:p>
    <w:p w14:paraId="37B37128">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① 具有独立承担民事责任的能力；</w:t>
      </w:r>
    </w:p>
    <w:p w14:paraId="41296DE3">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② 有良好的商业信誉和健全的财务会计制度；</w:t>
      </w:r>
    </w:p>
    <w:p w14:paraId="4E67D33C">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③ 具有履行合同所必需的产品和专业技术能力；</w:t>
      </w:r>
    </w:p>
    <w:p w14:paraId="495ADF37">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④ 有依法缴纳税收和社会保障资金的良好记录；</w:t>
      </w:r>
    </w:p>
    <w:p w14:paraId="6FFA968B">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⑤ 参加</w:t>
      </w:r>
      <w:r>
        <w:rPr>
          <w:rFonts w:hint="eastAsia" w:ascii="仿宋" w:hAnsi="仿宋" w:eastAsia="仿宋" w:cs="仿宋"/>
          <w:color w:val="auto"/>
          <w:sz w:val="22"/>
          <w:szCs w:val="22"/>
          <w:highlight w:val="none"/>
          <w:lang w:eastAsia="zh-CN"/>
        </w:rPr>
        <w:t>招标</w:t>
      </w:r>
      <w:r>
        <w:rPr>
          <w:rFonts w:hint="eastAsia" w:ascii="仿宋" w:hAnsi="仿宋" w:eastAsia="仿宋" w:cs="仿宋"/>
          <w:color w:val="auto"/>
          <w:sz w:val="22"/>
          <w:szCs w:val="22"/>
          <w:highlight w:val="none"/>
        </w:rPr>
        <w:t>活动前三年内，在经营活动中没有重大违法记录；</w:t>
      </w:r>
    </w:p>
    <w:p w14:paraId="5866E629">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⑥ 法律、行政法规规定的其他条件。</w:t>
      </w:r>
    </w:p>
    <w:p w14:paraId="10E8E32A">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（2）对于招标公告中所要求投标人应具有的某一资质，若联合体各方均具有，则将以联合体各方中最低的资质等级作为联合体在这一资质条件上的资质等级；联合体各方的不同资质可优势互补。</w:t>
      </w:r>
    </w:p>
    <w:p w14:paraId="1C21FC43">
      <w:pPr>
        <w:snapToGrid w:val="0"/>
        <w:spacing w:line="360" w:lineRule="auto"/>
        <w:ind w:firstLine="431" w:firstLineChars="196"/>
        <w:rPr>
          <w:rFonts w:ascii="仿宋" w:hAnsi="仿宋" w:eastAsia="仿宋" w:cs="仿宋"/>
          <w:color w:val="auto"/>
          <w:sz w:val="22"/>
          <w:szCs w:val="28"/>
          <w:highlight w:val="none"/>
        </w:rPr>
      </w:pPr>
      <w:r>
        <w:rPr>
          <w:rFonts w:hint="eastAsia" w:ascii="仿宋" w:hAnsi="仿宋" w:eastAsia="仿宋" w:cs="仿宋"/>
          <w:color w:val="auto"/>
          <w:sz w:val="22"/>
          <w:szCs w:val="28"/>
          <w:highlight w:val="none"/>
        </w:rPr>
        <w:t>（3）投标人的投标文件及中标后签署的合同协议对联合体各方均</w:t>
      </w:r>
      <w:r>
        <w:rPr>
          <w:rFonts w:hint="eastAsia" w:ascii="仿宋" w:hAnsi="仿宋" w:eastAsia="仿宋" w:cs="仿宋"/>
          <w:color w:val="auto"/>
          <w:sz w:val="22"/>
          <w:szCs w:val="28"/>
          <w:highlight w:val="none"/>
          <w:lang w:eastAsia="zh-CN"/>
        </w:rPr>
        <w:t>具有</w:t>
      </w:r>
      <w:r>
        <w:rPr>
          <w:rFonts w:hint="eastAsia" w:ascii="仿宋" w:hAnsi="仿宋" w:eastAsia="仿宋" w:cs="仿宋"/>
          <w:color w:val="auto"/>
          <w:sz w:val="22"/>
          <w:szCs w:val="28"/>
          <w:highlight w:val="none"/>
        </w:rPr>
        <w:t>法律约束力；</w:t>
      </w:r>
    </w:p>
    <w:p w14:paraId="7BBF24C2">
      <w:pPr>
        <w:snapToGrid w:val="0"/>
        <w:spacing w:line="360" w:lineRule="auto"/>
        <w:ind w:firstLine="431" w:firstLineChars="196"/>
        <w:rPr>
          <w:rFonts w:ascii="仿宋" w:hAnsi="仿宋" w:eastAsia="仿宋" w:cs="仿宋"/>
          <w:color w:val="auto"/>
          <w:sz w:val="22"/>
          <w:szCs w:val="28"/>
          <w:highlight w:val="none"/>
        </w:rPr>
      </w:pPr>
      <w:r>
        <w:rPr>
          <w:rFonts w:hint="eastAsia" w:ascii="仿宋" w:hAnsi="仿宋" w:eastAsia="仿宋" w:cs="仿宋"/>
          <w:color w:val="auto"/>
          <w:sz w:val="22"/>
          <w:szCs w:val="28"/>
          <w:highlight w:val="none"/>
        </w:rPr>
        <w:t>（4）联合体各方应当签订共同投标协议，明确约定各方拟承担的工作和责任，并将该共同投标协议随投标文件一并递交给</w:t>
      </w:r>
      <w:r>
        <w:rPr>
          <w:rFonts w:hint="eastAsia" w:ascii="仿宋" w:hAnsi="仿宋" w:eastAsia="仿宋" w:cs="仿宋"/>
          <w:color w:val="auto"/>
          <w:sz w:val="22"/>
          <w:szCs w:val="28"/>
          <w:highlight w:val="none"/>
          <w:lang w:eastAsia="zh-CN"/>
        </w:rPr>
        <w:t>招标代理</w:t>
      </w:r>
      <w:r>
        <w:rPr>
          <w:rFonts w:hint="eastAsia" w:ascii="仿宋" w:hAnsi="仿宋" w:eastAsia="仿宋" w:cs="仿宋"/>
          <w:color w:val="auto"/>
          <w:sz w:val="22"/>
          <w:szCs w:val="28"/>
          <w:highlight w:val="none"/>
        </w:rPr>
        <w:t>机构；</w:t>
      </w:r>
    </w:p>
    <w:p w14:paraId="0E533FE2">
      <w:pPr>
        <w:snapToGrid w:val="0"/>
        <w:spacing w:line="360" w:lineRule="auto"/>
        <w:ind w:firstLine="431" w:firstLineChars="196"/>
        <w:rPr>
          <w:rFonts w:ascii="仿宋" w:hAnsi="仿宋" w:eastAsia="仿宋" w:cs="仿宋"/>
          <w:color w:val="auto"/>
          <w:sz w:val="22"/>
          <w:szCs w:val="28"/>
          <w:highlight w:val="none"/>
        </w:rPr>
      </w:pPr>
      <w:r>
        <w:rPr>
          <w:rFonts w:hint="eastAsia" w:ascii="仿宋" w:hAnsi="仿宋" w:eastAsia="仿宋" w:cs="仿宋"/>
          <w:color w:val="auto"/>
          <w:sz w:val="22"/>
          <w:szCs w:val="28"/>
          <w:highlight w:val="none"/>
        </w:rPr>
        <w:t>（5）联合体中标后，联合体各方应当共同与</w:t>
      </w:r>
      <w:r>
        <w:rPr>
          <w:rFonts w:hint="eastAsia" w:ascii="仿宋" w:hAnsi="仿宋" w:eastAsia="仿宋" w:cs="仿宋"/>
          <w:color w:val="auto"/>
          <w:sz w:val="22"/>
          <w:szCs w:val="28"/>
          <w:highlight w:val="none"/>
          <w:lang w:eastAsia="zh-CN"/>
        </w:rPr>
        <w:t>招标人</w:t>
      </w:r>
      <w:r>
        <w:rPr>
          <w:rFonts w:hint="eastAsia" w:ascii="仿宋" w:hAnsi="仿宋" w:eastAsia="仿宋" w:cs="仿宋"/>
          <w:color w:val="auto"/>
          <w:sz w:val="22"/>
          <w:szCs w:val="28"/>
          <w:highlight w:val="none"/>
        </w:rPr>
        <w:t>签订合同，就中标项目向</w:t>
      </w:r>
      <w:r>
        <w:rPr>
          <w:rFonts w:hint="eastAsia" w:ascii="仿宋" w:hAnsi="仿宋" w:eastAsia="仿宋" w:cs="仿宋"/>
          <w:color w:val="auto"/>
          <w:sz w:val="22"/>
          <w:szCs w:val="28"/>
          <w:highlight w:val="none"/>
          <w:lang w:eastAsia="zh-CN"/>
        </w:rPr>
        <w:t>招标人</w:t>
      </w:r>
      <w:r>
        <w:rPr>
          <w:rFonts w:hint="eastAsia" w:ascii="仿宋" w:hAnsi="仿宋" w:eastAsia="仿宋" w:cs="仿宋"/>
          <w:color w:val="auto"/>
          <w:sz w:val="22"/>
          <w:szCs w:val="28"/>
          <w:highlight w:val="none"/>
        </w:rPr>
        <w:t>承担连带责任；</w:t>
      </w:r>
    </w:p>
    <w:p w14:paraId="4AA90089">
      <w:pPr>
        <w:snapToGrid w:val="0"/>
        <w:spacing w:line="360" w:lineRule="auto"/>
        <w:ind w:firstLine="431" w:firstLineChars="196"/>
        <w:rPr>
          <w:rFonts w:ascii="仿宋" w:hAnsi="仿宋" w:eastAsia="仿宋" w:cs="仿宋"/>
          <w:color w:val="auto"/>
          <w:sz w:val="22"/>
          <w:szCs w:val="28"/>
          <w:highlight w:val="none"/>
        </w:rPr>
      </w:pPr>
      <w:r>
        <w:rPr>
          <w:rFonts w:hint="eastAsia" w:ascii="仿宋" w:hAnsi="仿宋" w:eastAsia="仿宋" w:cs="仿宋"/>
          <w:color w:val="auto"/>
          <w:sz w:val="22"/>
          <w:szCs w:val="28"/>
          <w:highlight w:val="none"/>
        </w:rPr>
        <w:t>（6）联合体的各方应当共同推荐</w:t>
      </w:r>
      <w:r>
        <w:rPr>
          <w:rFonts w:hint="eastAsia" w:ascii="仿宋" w:hAnsi="仿宋" w:eastAsia="仿宋" w:cs="仿宋"/>
          <w:color w:val="auto"/>
          <w:sz w:val="22"/>
          <w:szCs w:val="28"/>
          <w:highlight w:val="none"/>
          <w:lang w:eastAsia="zh-CN"/>
        </w:rPr>
        <w:t>一名</w:t>
      </w:r>
      <w:r>
        <w:rPr>
          <w:rFonts w:hint="eastAsia" w:ascii="仿宋" w:hAnsi="仿宋" w:eastAsia="仿宋" w:cs="仿宋"/>
          <w:color w:val="auto"/>
          <w:sz w:val="22"/>
          <w:szCs w:val="28"/>
          <w:highlight w:val="none"/>
        </w:rPr>
        <w:t>联合体投标授权代表人，由联合体各方提交一份授权书，证明其有资格代表联合体各方签署投标文件，该授权书作为投标文件的组成部分一并提交给</w:t>
      </w:r>
      <w:r>
        <w:rPr>
          <w:rFonts w:hint="eastAsia" w:ascii="仿宋" w:hAnsi="仿宋" w:eastAsia="仿宋" w:cs="仿宋"/>
          <w:color w:val="auto"/>
          <w:sz w:val="22"/>
          <w:szCs w:val="28"/>
          <w:highlight w:val="none"/>
          <w:lang w:eastAsia="zh-CN"/>
        </w:rPr>
        <w:t>招标代理</w:t>
      </w:r>
      <w:r>
        <w:rPr>
          <w:rFonts w:hint="eastAsia" w:ascii="仿宋" w:hAnsi="仿宋" w:eastAsia="仿宋" w:cs="仿宋"/>
          <w:color w:val="auto"/>
          <w:sz w:val="22"/>
          <w:szCs w:val="28"/>
          <w:highlight w:val="none"/>
        </w:rPr>
        <w:t>机构；</w:t>
      </w:r>
    </w:p>
    <w:p w14:paraId="33A959C6">
      <w:pPr>
        <w:snapToGrid w:val="0"/>
        <w:spacing w:line="360" w:lineRule="auto"/>
        <w:ind w:firstLine="431" w:firstLineChars="196"/>
        <w:rPr>
          <w:rFonts w:ascii="仿宋" w:hAnsi="仿宋" w:eastAsia="仿宋" w:cs="仿宋"/>
          <w:color w:val="auto"/>
          <w:sz w:val="22"/>
          <w:szCs w:val="28"/>
          <w:highlight w:val="none"/>
        </w:rPr>
      </w:pPr>
      <w:r>
        <w:rPr>
          <w:rFonts w:hint="eastAsia" w:ascii="仿宋" w:hAnsi="仿宋" w:eastAsia="仿宋" w:cs="仿宋"/>
          <w:color w:val="auto"/>
          <w:sz w:val="22"/>
          <w:szCs w:val="28"/>
          <w:highlight w:val="none"/>
        </w:rPr>
        <w:t>（7）参加联合体的各方不得再以自己的名义单独投标，不得同时参加两个或两个以上的联合体投标、不得以分包商或其他形式参与投标，出现上述情况者，其投标和与此有关联合体、总包单位的投标将被拒绝；</w:t>
      </w:r>
    </w:p>
    <w:p w14:paraId="5D53D889">
      <w:pPr>
        <w:snapToGrid w:val="0"/>
        <w:spacing w:line="360" w:lineRule="auto"/>
        <w:ind w:firstLine="431" w:firstLineChars="196"/>
        <w:rPr>
          <w:rFonts w:ascii="仿宋" w:hAnsi="仿宋" w:eastAsia="仿宋" w:cs="仿宋"/>
          <w:color w:val="auto"/>
          <w:sz w:val="22"/>
          <w:szCs w:val="28"/>
          <w:highlight w:val="none"/>
        </w:rPr>
      </w:pPr>
      <w:r>
        <w:rPr>
          <w:rFonts w:hint="eastAsia" w:ascii="仿宋" w:hAnsi="仿宋" w:eastAsia="仿宋" w:cs="仿宋"/>
          <w:color w:val="auto"/>
          <w:sz w:val="22"/>
          <w:szCs w:val="28"/>
          <w:highlight w:val="none"/>
        </w:rPr>
        <w:t>（8）除非另有规定或说明，本通用条款中“投标人”一词亦指联合体各方。</w:t>
      </w:r>
    </w:p>
    <w:p w14:paraId="1012533F">
      <w:pPr>
        <w:spacing w:line="360" w:lineRule="auto"/>
        <w:rPr>
          <w:rFonts w:ascii="黑体" w:hAnsi="黑体" w:eastAsia="黑体" w:cs="黑体"/>
          <w:color w:val="auto"/>
          <w:sz w:val="24"/>
          <w:highlight w:val="none"/>
        </w:rPr>
      </w:pPr>
      <w:bookmarkStart w:id="54" w:name="_Toc29860"/>
      <w:bookmarkStart w:id="55" w:name="_Toc8340"/>
      <w:bookmarkStart w:id="56" w:name="_Toc9148"/>
      <w:r>
        <w:rPr>
          <w:rFonts w:hint="eastAsia" w:ascii="黑体" w:hAnsi="黑体" w:eastAsia="黑体" w:cs="黑体"/>
          <w:color w:val="auto"/>
          <w:sz w:val="24"/>
          <w:highlight w:val="none"/>
        </w:rPr>
        <w:t>5．投标费用</w:t>
      </w:r>
      <w:bookmarkEnd w:id="54"/>
      <w:bookmarkEnd w:id="55"/>
      <w:bookmarkEnd w:id="56"/>
    </w:p>
    <w:p w14:paraId="58EC0511">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不论投标结果如何，投标人应承担其编制投标文件与递交投标文件所涉及的一切费用。</w:t>
      </w:r>
    </w:p>
    <w:p w14:paraId="29FD09DF">
      <w:pPr>
        <w:spacing w:line="360" w:lineRule="auto"/>
        <w:rPr>
          <w:rFonts w:ascii="黑体" w:hAnsi="黑体" w:eastAsia="黑体" w:cs="黑体"/>
          <w:color w:val="auto"/>
          <w:sz w:val="24"/>
          <w:highlight w:val="none"/>
        </w:rPr>
      </w:pPr>
      <w:bookmarkStart w:id="57" w:name="_Toc3516"/>
      <w:bookmarkStart w:id="58" w:name="_Toc5"/>
      <w:bookmarkStart w:id="59" w:name="_Toc7446"/>
      <w:r>
        <w:rPr>
          <w:rFonts w:hint="eastAsia" w:ascii="黑体" w:hAnsi="黑体" w:eastAsia="黑体" w:cs="黑体"/>
          <w:color w:val="auto"/>
          <w:sz w:val="24"/>
          <w:highlight w:val="none"/>
        </w:rPr>
        <w:t>6．踏勘现场</w:t>
      </w:r>
      <w:bookmarkEnd w:id="57"/>
      <w:bookmarkEnd w:id="58"/>
      <w:bookmarkEnd w:id="59"/>
    </w:p>
    <w:p w14:paraId="2ED9740E">
      <w:pPr>
        <w:snapToGrid w:val="0"/>
        <w:spacing w:line="360" w:lineRule="auto"/>
        <w:ind w:firstLine="431" w:firstLineChars="196"/>
        <w:rPr>
          <w:rFonts w:ascii="仿宋" w:hAnsi="仿宋" w:eastAsia="仿宋" w:cs="仿宋"/>
          <w:color w:val="auto"/>
          <w:sz w:val="22"/>
          <w:szCs w:val="28"/>
          <w:highlight w:val="none"/>
        </w:rPr>
      </w:pPr>
      <w:r>
        <w:rPr>
          <w:rFonts w:hint="eastAsia" w:ascii="仿宋" w:hAnsi="仿宋" w:eastAsia="仿宋" w:cs="仿宋"/>
          <w:color w:val="auto"/>
          <w:sz w:val="22"/>
          <w:szCs w:val="28"/>
          <w:highlight w:val="none"/>
        </w:rPr>
        <w:t>6.1 如有需要，</w:t>
      </w:r>
      <w:r>
        <w:rPr>
          <w:rFonts w:hint="eastAsia" w:ascii="仿宋" w:hAnsi="仿宋" w:eastAsia="仿宋" w:cs="仿宋"/>
          <w:color w:val="auto"/>
          <w:sz w:val="22"/>
          <w:szCs w:val="28"/>
          <w:highlight w:val="none"/>
          <w:lang w:eastAsia="zh-CN"/>
        </w:rPr>
        <w:t>招标代理</w:t>
      </w:r>
      <w:r>
        <w:rPr>
          <w:rFonts w:hint="eastAsia" w:ascii="仿宋" w:hAnsi="仿宋" w:eastAsia="仿宋" w:cs="仿宋"/>
          <w:color w:val="auto"/>
          <w:sz w:val="22"/>
          <w:szCs w:val="28"/>
          <w:highlight w:val="none"/>
        </w:rPr>
        <w:t>机构或</w:t>
      </w:r>
      <w:r>
        <w:rPr>
          <w:rFonts w:hint="eastAsia" w:ascii="仿宋" w:hAnsi="仿宋" w:eastAsia="仿宋" w:cs="仿宋"/>
          <w:color w:val="auto"/>
          <w:sz w:val="22"/>
          <w:szCs w:val="28"/>
          <w:highlight w:val="none"/>
          <w:lang w:eastAsia="zh-CN"/>
        </w:rPr>
        <w:t>招标人</w:t>
      </w:r>
      <w:r>
        <w:rPr>
          <w:rFonts w:hint="eastAsia" w:ascii="仿宋" w:hAnsi="仿宋" w:eastAsia="仿宋" w:cs="仿宋"/>
          <w:color w:val="auto"/>
          <w:sz w:val="22"/>
          <w:szCs w:val="28"/>
          <w:highlight w:val="none"/>
        </w:rPr>
        <w:t>将组织投标人对项目现场及周围环境进行踏勘，以便投标人获取有关编制投标文件和签署合同所需的所有资料。踏勘现场所发生的费用由投标人自行承担，本项目投标人自行踏勘现场。</w:t>
      </w:r>
    </w:p>
    <w:p w14:paraId="3A8E5507">
      <w:pPr>
        <w:snapToGrid w:val="0"/>
        <w:spacing w:line="360" w:lineRule="auto"/>
        <w:ind w:firstLine="431" w:firstLineChars="196"/>
        <w:rPr>
          <w:rFonts w:ascii="仿宋" w:hAnsi="仿宋" w:eastAsia="仿宋" w:cs="仿宋"/>
          <w:color w:val="auto"/>
          <w:sz w:val="22"/>
          <w:szCs w:val="28"/>
          <w:highlight w:val="none"/>
        </w:rPr>
      </w:pPr>
      <w:r>
        <w:rPr>
          <w:rFonts w:hint="eastAsia" w:ascii="仿宋" w:hAnsi="仿宋" w:eastAsia="仿宋" w:cs="仿宋"/>
          <w:color w:val="auto"/>
          <w:sz w:val="22"/>
          <w:szCs w:val="28"/>
          <w:highlight w:val="none"/>
        </w:rPr>
        <w:t>6.2 未参与现场踏勘不作为否定投标人资格的理由。</w:t>
      </w:r>
    </w:p>
    <w:p w14:paraId="5925763D">
      <w:pPr>
        <w:spacing w:line="360" w:lineRule="auto"/>
        <w:rPr>
          <w:rFonts w:ascii="黑体" w:hAnsi="黑体" w:eastAsia="黑体" w:cs="黑体"/>
          <w:color w:val="auto"/>
          <w:sz w:val="24"/>
          <w:highlight w:val="none"/>
        </w:rPr>
      </w:pPr>
      <w:bookmarkStart w:id="60" w:name="_Toc12297"/>
      <w:bookmarkStart w:id="61" w:name="_Toc9508"/>
      <w:bookmarkStart w:id="62" w:name="_Toc13770"/>
      <w:r>
        <w:rPr>
          <w:rFonts w:hint="eastAsia" w:ascii="黑体" w:hAnsi="黑体" w:eastAsia="黑体" w:cs="黑体"/>
          <w:color w:val="auto"/>
          <w:sz w:val="24"/>
          <w:highlight w:val="none"/>
        </w:rPr>
        <w:t>7．招标答疑</w:t>
      </w:r>
      <w:bookmarkEnd w:id="60"/>
      <w:bookmarkEnd w:id="61"/>
      <w:bookmarkEnd w:id="62"/>
    </w:p>
    <w:p w14:paraId="26D19C07">
      <w:pPr>
        <w:snapToGrid w:val="0"/>
        <w:spacing w:line="360" w:lineRule="auto"/>
        <w:ind w:firstLine="431" w:firstLineChars="196"/>
        <w:rPr>
          <w:rFonts w:ascii="仿宋" w:hAnsi="仿宋" w:eastAsia="仿宋" w:cs="仿宋"/>
          <w:color w:val="auto"/>
          <w:sz w:val="22"/>
          <w:szCs w:val="28"/>
          <w:highlight w:val="none"/>
        </w:rPr>
      </w:pPr>
      <w:r>
        <w:rPr>
          <w:rFonts w:hint="eastAsia" w:ascii="仿宋" w:hAnsi="仿宋" w:eastAsia="仿宋" w:cs="仿宋"/>
          <w:color w:val="auto"/>
          <w:sz w:val="22"/>
          <w:szCs w:val="28"/>
          <w:highlight w:val="none"/>
        </w:rPr>
        <w:t xml:space="preserve">7.1 </w:t>
      </w:r>
      <w:r>
        <w:rPr>
          <w:rFonts w:hint="eastAsia" w:ascii="仿宋" w:hAnsi="仿宋" w:eastAsia="仿宋" w:cs="仿宋"/>
          <w:color w:val="auto"/>
          <w:sz w:val="22"/>
          <w:szCs w:val="22"/>
          <w:highlight w:val="none"/>
        </w:rPr>
        <w:t>任何要求对招标文件进行澄清或者对招标文件有限制性、倾向性条款提出质疑的投标人，均应于“招标公告”中所述答疑截止时间前在书面通知</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机构对规定时间内收到的对招标文件的澄清或者质疑，视情况予以答复。具体答疑方式请见本招标文件第二册第一章之规定</w:t>
      </w:r>
      <w:r>
        <w:rPr>
          <w:rFonts w:hint="eastAsia" w:ascii="仿宋" w:hAnsi="仿宋" w:eastAsia="仿宋" w:cs="仿宋"/>
          <w:color w:val="auto"/>
          <w:sz w:val="22"/>
          <w:szCs w:val="28"/>
          <w:highlight w:val="none"/>
        </w:rPr>
        <w:t>。</w:t>
      </w:r>
    </w:p>
    <w:p w14:paraId="2F50D507">
      <w:pPr>
        <w:snapToGrid w:val="0"/>
        <w:spacing w:line="360" w:lineRule="auto"/>
        <w:ind w:firstLine="431" w:firstLineChars="196"/>
        <w:rPr>
          <w:rFonts w:ascii="仿宋" w:hAnsi="仿宋" w:eastAsia="仿宋" w:cs="仿宋"/>
          <w:color w:val="auto"/>
          <w:sz w:val="22"/>
          <w:szCs w:val="28"/>
          <w:highlight w:val="none"/>
        </w:rPr>
      </w:pPr>
    </w:p>
    <w:p w14:paraId="493393B8">
      <w:pPr>
        <w:pStyle w:val="4"/>
        <w:spacing w:line="360" w:lineRule="auto"/>
        <w:jc w:val="center"/>
        <w:rPr>
          <w:rFonts w:ascii="黑体" w:hAnsi="黑体"/>
          <w:color w:val="auto"/>
          <w:highlight w:val="none"/>
        </w:rPr>
      </w:pPr>
      <w:bookmarkStart w:id="63" w:name="_Toc11891"/>
      <w:bookmarkStart w:id="64" w:name="_Toc11827"/>
      <w:bookmarkStart w:id="65" w:name="_Toc26680"/>
      <w:bookmarkStart w:id="66" w:name="_Toc17174"/>
      <w:bookmarkStart w:id="67" w:name="_Toc8372"/>
      <w:bookmarkStart w:id="68" w:name="_Toc31169"/>
      <w:bookmarkStart w:id="69" w:name="_Toc2251"/>
      <w:bookmarkStart w:id="70" w:name="_Toc32450"/>
      <w:bookmarkStart w:id="71" w:name="_Toc22318"/>
      <w:bookmarkStart w:id="72" w:name="_Toc20274"/>
      <w:bookmarkStart w:id="73" w:name="_Toc11841"/>
      <w:bookmarkStart w:id="74" w:name="_Toc8953"/>
      <w:bookmarkStart w:id="75" w:name="_Toc13759"/>
      <w:bookmarkStart w:id="76" w:name="_Toc128564754"/>
      <w:bookmarkStart w:id="77" w:name="_Toc2498"/>
      <w:bookmarkStart w:id="78" w:name="_Toc15768"/>
      <w:bookmarkStart w:id="79" w:name="_Toc101432965"/>
      <w:bookmarkStart w:id="80" w:name="_Toc16282"/>
      <w:r>
        <w:rPr>
          <w:rFonts w:hint="eastAsia" w:ascii="黑体" w:hAnsi="黑体"/>
          <w:color w:val="auto"/>
          <w:highlight w:val="none"/>
        </w:rPr>
        <w:t>第二章  招标文件</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7F209B28">
      <w:pPr>
        <w:spacing w:line="360" w:lineRule="auto"/>
        <w:rPr>
          <w:rFonts w:ascii="黑体" w:hAnsi="黑体" w:eastAsia="黑体" w:cs="黑体"/>
          <w:color w:val="auto"/>
          <w:sz w:val="24"/>
          <w:highlight w:val="none"/>
        </w:rPr>
      </w:pPr>
      <w:r>
        <w:rPr>
          <w:rFonts w:hint="eastAsia" w:ascii="黑体" w:hAnsi="黑体" w:eastAsia="黑体" w:cs="黑体"/>
          <w:color w:val="auto"/>
          <w:sz w:val="24"/>
          <w:highlight w:val="none"/>
        </w:rPr>
        <w:t>8．招标文件的组成</w:t>
      </w:r>
    </w:p>
    <w:p w14:paraId="0A7FDEE7">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8.1 招标文件除以下内容外，</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机构在招标期间发出的答疑文件和其他补充修改文件，均是招标文件的组成部分，对投标人起约束作用；</w:t>
      </w:r>
    </w:p>
    <w:p w14:paraId="467B58CF">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招标文件包括下列内容：</w:t>
      </w:r>
    </w:p>
    <w:p w14:paraId="04984F7E">
      <w:pPr>
        <w:spacing w:line="360" w:lineRule="auto"/>
        <w:ind w:firstLine="442" w:firstLineChars="200"/>
        <w:rPr>
          <w:rFonts w:ascii="宋体" w:hAnsi="宋体"/>
          <w:b/>
          <w:color w:val="auto"/>
          <w:szCs w:val="21"/>
          <w:highlight w:val="none"/>
        </w:rPr>
      </w:pPr>
      <w:r>
        <w:rPr>
          <w:rFonts w:hint="eastAsia" w:ascii="仿宋" w:hAnsi="仿宋" w:eastAsia="仿宋" w:cs="仿宋"/>
          <w:b/>
          <w:color w:val="auto"/>
          <w:sz w:val="22"/>
          <w:szCs w:val="22"/>
          <w:highlight w:val="none"/>
        </w:rPr>
        <w:t xml:space="preserve">第一册  </w:t>
      </w:r>
      <w:r>
        <w:rPr>
          <w:rFonts w:hint="eastAsia" w:ascii="宋体" w:hAnsi="宋体"/>
          <w:b/>
          <w:color w:val="auto"/>
          <w:szCs w:val="21"/>
          <w:highlight w:val="none"/>
        </w:rPr>
        <w:t>通用条款</w:t>
      </w:r>
    </w:p>
    <w:p w14:paraId="367D31E3">
      <w:pPr>
        <w:spacing w:line="360" w:lineRule="auto"/>
        <w:ind w:firstLine="880" w:firstLineChars="4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第一章 总则</w:t>
      </w:r>
    </w:p>
    <w:p w14:paraId="058AF490">
      <w:pPr>
        <w:spacing w:line="360" w:lineRule="auto"/>
        <w:ind w:firstLine="880" w:firstLineChars="4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第二章 招标文件</w:t>
      </w:r>
    </w:p>
    <w:p w14:paraId="13380188">
      <w:pPr>
        <w:spacing w:line="360" w:lineRule="auto"/>
        <w:ind w:firstLine="880" w:firstLineChars="4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第三章 投标文件的编制</w:t>
      </w:r>
    </w:p>
    <w:p w14:paraId="7E0AFB2B">
      <w:pPr>
        <w:spacing w:line="360" w:lineRule="auto"/>
        <w:ind w:firstLine="880" w:firstLineChars="4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第四章 投标文件的递交</w:t>
      </w:r>
    </w:p>
    <w:p w14:paraId="5E2D2127">
      <w:pPr>
        <w:spacing w:line="360" w:lineRule="auto"/>
        <w:ind w:firstLine="880" w:firstLineChars="4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第五章 开标</w:t>
      </w:r>
    </w:p>
    <w:p w14:paraId="5F5BBAD5">
      <w:pPr>
        <w:spacing w:line="360" w:lineRule="auto"/>
        <w:ind w:firstLine="880" w:firstLineChars="4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第六章 评标</w:t>
      </w:r>
    </w:p>
    <w:p w14:paraId="678CE267">
      <w:pPr>
        <w:spacing w:line="360" w:lineRule="auto"/>
        <w:ind w:firstLine="880" w:firstLineChars="4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第七章 评标程序及评标方法</w:t>
      </w:r>
    </w:p>
    <w:p w14:paraId="00BC7039">
      <w:pPr>
        <w:spacing w:line="360" w:lineRule="auto"/>
        <w:ind w:firstLine="880" w:firstLineChars="4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第八章 公开招标失败的后续处理</w:t>
      </w:r>
    </w:p>
    <w:p w14:paraId="56CE299E">
      <w:pPr>
        <w:spacing w:line="360" w:lineRule="auto"/>
        <w:ind w:firstLine="880" w:firstLineChars="4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第九章 合同的授予</w:t>
      </w:r>
    </w:p>
    <w:p w14:paraId="54904AD4">
      <w:pPr>
        <w:spacing w:line="360" w:lineRule="auto"/>
        <w:ind w:firstLine="422" w:firstLineChars="200"/>
        <w:rPr>
          <w:rFonts w:ascii="仿宋" w:hAnsi="仿宋" w:eastAsia="仿宋" w:cs="仿宋"/>
          <w:b/>
          <w:color w:val="auto"/>
          <w:sz w:val="22"/>
          <w:szCs w:val="22"/>
          <w:highlight w:val="none"/>
        </w:rPr>
      </w:pPr>
      <w:r>
        <w:rPr>
          <w:rFonts w:hint="eastAsia" w:ascii="宋体" w:hAnsi="宋体"/>
          <w:b/>
          <w:color w:val="auto"/>
          <w:szCs w:val="21"/>
          <w:highlight w:val="none"/>
        </w:rPr>
        <w:t xml:space="preserve">第二册  </w:t>
      </w:r>
      <w:r>
        <w:rPr>
          <w:rFonts w:hint="eastAsia" w:ascii="仿宋" w:hAnsi="仿宋" w:eastAsia="仿宋" w:cs="仿宋"/>
          <w:b/>
          <w:color w:val="auto"/>
          <w:sz w:val="22"/>
          <w:szCs w:val="22"/>
          <w:highlight w:val="none"/>
        </w:rPr>
        <w:t>专用条款</w:t>
      </w:r>
    </w:p>
    <w:p w14:paraId="648EE2F1">
      <w:pPr>
        <w:spacing w:line="360" w:lineRule="auto"/>
        <w:ind w:firstLine="880" w:firstLineChars="4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第一章 招标公告</w:t>
      </w:r>
    </w:p>
    <w:p w14:paraId="1963C7DE">
      <w:pPr>
        <w:spacing w:line="360" w:lineRule="auto"/>
        <w:ind w:firstLine="880" w:firstLineChars="4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第二章 关键信息</w:t>
      </w:r>
    </w:p>
    <w:p w14:paraId="685C23D1">
      <w:pPr>
        <w:spacing w:line="360" w:lineRule="auto"/>
        <w:ind w:firstLine="1320" w:firstLineChars="6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表一、投标须知前附表</w:t>
      </w:r>
    </w:p>
    <w:p w14:paraId="70DBADC8">
      <w:pPr>
        <w:spacing w:line="360" w:lineRule="auto"/>
        <w:ind w:firstLine="1320" w:firstLineChars="6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表二、投标文件初审表</w:t>
      </w:r>
    </w:p>
    <w:p w14:paraId="2F815D5E">
      <w:pPr>
        <w:spacing w:line="360" w:lineRule="auto"/>
        <w:ind w:firstLine="1320" w:firstLineChars="6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表三、评标信息</w:t>
      </w:r>
    </w:p>
    <w:p w14:paraId="523CEB7C">
      <w:pPr>
        <w:spacing w:line="360" w:lineRule="auto"/>
        <w:ind w:firstLine="880" w:firstLineChars="4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第三章 招标项目需求</w:t>
      </w:r>
    </w:p>
    <w:p w14:paraId="45F2266E">
      <w:pPr>
        <w:spacing w:line="360" w:lineRule="auto"/>
        <w:ind w:firstLine="880" w:firstLineChars="4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第四章 合同条款及格式</w:t>
      </w:r>
    </w:p>
    <w:p w14:paraId="16E6A529">
      <w:pPr>
        <w:spacing w:line="360" w:lineRule="auto"/>
        <w:ind w:firstLine="880" w:firstLineChars="4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第五章 投标文件的格式、附件</w:t>
      </w:r>
    </w:p>
    <w:p w14:paraId="567BD1ED">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8.2 公开招标采购活动信息发布及通告：</w:t>
      </w:r>
      <w:r>
        <w:rPr>
          <w:rFonts w:hint="eastAsia" w:ascii="仿宋" w:hAnsi="仿宋" w:eastAsia="仿宋" w:cs="仿宋"/>
          <w:color w:val="auto"/>
          <w:sz w:val="22"/>
          <w:szCs w:val="22"/>
          <w:highlight w:val="none"/>
          <w:lang w:eastAsia="zh-CN"/>
        </w:rPr>
        <w:t>招标人</w:t>
      </w:r>
      <w:r>
        <w:rPr>
          <w:rFonts w:hint="eastAsia" w:ascii="仿宋" w:hAnsi="仿宋" w:eastAsia="仿宋" w:cs="仿宋"/>
          <w:color w:val="auto"/>
          <w:sz w:val="22"/>
          <w:szCs w:val="22"/>
          <w:highlight w:val="none"/>
        </w:rPr>
        <w:t>确认招标文件后，</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机构在招标开始日</w:t>
      </w:r>
      <w:r>
        <w:rPr>
          <w:rFonts w:hint="eastAsia" w:ascii="仿宋" w:hAnsi="仿宋" w:eastAsia="仿宋" w:cs="仿宋"/>
          <w:color w:val="auto"/>
          <w:sz w:val="22"/>
          <w:szCs w:val="22"/>
          <w:highlight w:val="none"/>
          <w:lang w:val="en-US" w:eastAsia="zh-CN"/>
        </w:rPr>
        <w:t>七</w:t>
      </w:r>
      <w:r>
        <w:rPr>
          <w:rFonts w:hint="eastAsia" w:ascii="仿宋" w:hAnsi="仿宋" w:eastAsia="仿宋" w:cs="仿宋"/>
          <w:color w:val="auto"/>
          <w:sz w:val="22"/>
          <w:szCs w:val="22"/>
          <w:highlight w:val="none"/>
          <w:lang w:eastAsia="zh-CN"/>
        </w:rPr>
        <w:t>个日历日</w:t>
      </w:r>
      <w:r>
        <w:rPr>
          <w:rFonts w:hint="eastAsia" w:ascii="仿宋" w:hAnsi="仿宋" w:eastAsia="仿宋" w:cs="仿宋"/>
          <w:color w:val="auto"/>
          <w:sz w:val="22"/>
          <w:szCs w:val="22"/>
          <w:highlight w:val="none"/>
        </w:rPr>
        <w:t>前公布招标文件，并明确招标规则；评审结束后</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机构将书面评审报告和推荐候选中标</w:t>
      </w:r>
      <w:r>
        <w:rPr>
          <w:rFonts w:hint="eastAsia" w:ascii="仿宋" w:hAnsi="仿宋" w:eastAsia="仿宋" w:cs="仿宋"/>
          <w:color w:val="auto"/>
          <w:sz w:val="22"/>
          <w:szCs w:val="22"/>
          <w:highlight w:val="none"/>
          <w:lang w:eastAsia="zh-CN"/>
        </w:rPr>
        <w:t>人</w:t>
      </w:r>
      <w:r>
        <w:rPr>
          <w:rFonts w:hint="eastAsia" w:ascii="仿宋" w:hAnsi="仿宋" w:eastAsia="仿宋" w:cs="仿宋"/>
          <w:color w:val="auto"/>
          <w:sz w:val="22"/>
          <w:szCs w:val="22"/>
          <w:highlight w:val="none"/>
        </w:rPr>
        <w:t>情况送交</w:t>
      </w:r>
      <w:r>
        <w:rPr>
          <w:rFonts w:hint="eastAsia" w:ascii="仿宋" w:hAnsi="仿宋" w:eastAsia="仿宋" w:cs="仿宋"/>
          <w:color w:val="auto"/>
          <w:sz w:val="22"/>
          <w:szCs w:val="22"/>
          <w:highlight w:val="none"/>
          <w:lang w:eastAsia="zh-CN"/>
        </w:rPr>
        <w:t>招标人</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eastAsia="zh-CN"/>
        </w:rPr>
        <w:t>招标人</w:t>
      </w:r>
      <w:r>
        <w:rPr>
          <w:rFonts w:hint="eastAsia" w:ascii="仿宋" w:hAnsi="仿宋" w:eastAsia="仿宋" w:cs="仿宋"/>
          <w:color w:val="auto"/>
          <w:sz w:val="22"/>
          <w:szCs w:val="22"/>
          <w:highlight w:val="none"/>
        </w:rPr>
        <w:t>在1个工作日内对中标</w:t>
      </w:r>
      <w:r>
        <w:rPr>
          <w:rFonts w:hint="eastAsia" w:ascii="仿宋" w:hAnsi="仿宋" w:eastAsia="仿宋" w:cs="仿宋"/>
          <w:color w:val="auto"/>
          <w:sz w:val="22"/>
          <w:szCs w:val="22"/>
          <w:highlight w:val="none"/>
          <w:lang w:eastAsia="zh-CN"/>
        </w:rPr>
        <w:t>人</w:t>
      </w:r>
      <w:r>
        <w:rPr>
          <w:rFonts w:hint="eastAsia" w:ascii="仿宋" w:hAnsi="仿宋" w:eastAsia="仿宋" w:cs="仿宋"/>
          <w:color w:val="auto"/>
          <w:sz w:val="22"/>
          <w:szCs w:val="22"/>
          <w:highlight w:val="none"/>
        </w:rPr>
        <w:t>予以确认；</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机构在发出中标通知书之前，将中标结果通过指定网站进行公示三个日历日；公示期满无异议或者异议不成立的，</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机构发出中标通知书。</w:t>
      </w:r>
    </w:p>
    <w:p w14:paraId="2EE9B9AD">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8.3 投标人获得招标文件后，应仔细检查招标文件的所有内容，如有残缺应在投标答疑截止时间之前向</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提出，否则，由此引起的投标损失自负；投标人同时应认真审阅招标文件所有的事项、格式、条款和规范要求等，如果投标人的投标文件没有按招标文件要求提交全部资料或者投标文件没有对招标文件做出实质性响应，其风险应由投标人自行承担，并根据有关条款规定，其投标有可能被拒绝。</w:t>
      </w:r>
    </w:p>
    <w:p w14:paraId="12C5202F">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8.4 </w:t>
      </w:r>
      <w:r>
        <w:rPr>
          <w:rFonts w:hint="eastAsia" w:ascii="仿宋" w:hAnsi="仿宋" w:eastAsia="仿宋" w:cs="仿宋"/>
          <w:color w:val="auto"/>
          <w:sz w:val="22"/>
          <w:szCs w:val="28"/>
          <w:highlight w:val="none"/>
        </w:rPr>
        <w:t>任何人或任何组织向投标人提交的任何书面或口头资料，未经</w:t>
      </w:r>
      <w:r>
        <w:rPr>
          <w:rFonts w:hint="eastAsia" w:ascii="仿宋" w:hAnsi="仿宋" w:eastAsia="仿宋" w:cs="仿宋"/>
          <w:color w:val="auto"/>
          <w:sz w:val="22"/>
          <w:szCs w:val="28"/>
          <w:highlight w:val="none"/>
          <w:lang w:eastAsia="zh-CN"/>
        </w:rPr>
        <w:t>招标代理</w:t>
      </w:r>
      <w:r>
        <w:rPr>
          <w:rFonts w:hint="eastAsia" w:ascii="仿宋" w:hAnsi="仿宋" w:eastAsia="仿宋" w:cs="仿宋"/>
          <w:color w:val="auto"/>
          <w:sz w:val="22"/>
          <w:szCs w:val="28"/>
          <w:highlight w:val="none"/>
        </w:rPr>
        <w:t>机构在网上发布或书面通知，均作无效处理，不得作为招标文件的组成部分。</w:t>
      </w:r>
      <w:r>
        <w:rPr>
          <w:rFonts w:hint="eastAsia" w:ascii="仿宋" w:hAnsi="仿宋" w:eastAsia="仿宋" w:cs="仿宋"/>
          <w:color w:val="auto"/>
          <w:sz w:val="22"/>
          <w:szCs w:val="28"/>
          <w:highlight w:val="none"/>
          <w:lang w:eastAsia="zh-CN"/>
        </w:rPr>
        <w:t>招标代理</w:t>
      </w:r>
      <w:r>
        <w:rPr>
          <w:rFonts w:hint="eastAsia" w:ascii="仿宋" w:hAnsi="仿宋" w:eastAsia="仿宋" w:cs="仿宋"/>
          <w:color w:val="auto"/>
          <w:sz w:val="22"/>
          <w:szCs w:val="28"/>
          <w:highlight w:val="none"/>
        </w:rPr>
        <w:t>机构对投标人由此而做出的推论、理解和结论概不负责。</w:t>
      </w:r>
    </w:p>
    <w:p w14:paraId="58110167">
      <w:pPr>
        <w:spacing w:line="360" w:lineRule="auto"/>
        <w:rPr>
          <w:rFonts w:ascii="黑体" w:hAnsi="黑体" w:eastAsia="黑体" w:cs="黑体"/>
          <w:color w:val="auto"/>
          <w:sz w:val="24"/>
          <w:highlight w:val="none"/>
        </w:rPr>
      </w:pPr>
      <w:r>
        <w:rPr>
          <w:rFonts w:hint="eastAsia" w:ascii="黑体" w:hAnsi="黑体" w:eastAsia="黑体" w:cs="黑体"/>
          <w:color w:val="auto"/>
          <w:sz w:val="24"/>
          <w:highlight w:val="none"/>
        </w:rPr>
        <w:t>9．招标文件的澄清</w:t>
      </w:r>
    </w:p>
    <w:p w14:paraId="5EE54969">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9.1 任何要求对招标文件进行澄清或者对招标文件有限制性、倾向性条款提出质疑的投标人，均应于“招标公告”中所述答疑截止时间前通知</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 xml:space="preserve">机构对规定时间内收到的对招标文件的澄清或者质疑，视情况予以答复。具体答疑方式请见本招标文件第二册第一章之规定。  </w:t>
      </w:r>
    </w:p>
    <w:p w14:paraId="3ABAC227">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9.2 对于没有提出澄清或者质疑又参与了该项目投标的</w:t>
      </w:r>
      <w:r>
        <w:rPr>
          <w:rFonts w:hint="eastAsia" w:ascii="仿宋" w:hAnsi="仿宋" w:eastAsia="仿宋" w:cs="仿宋"/>
          <w:color w:val="auto"/>
          <w:sz w:val="22"/>
          <w:szCs w:val="22"/>
          <w:highlight w:val="none"/>
          <w:lang w:val="en-US" w:eastAsia="zh-CN"/>
        </w:rPr>
        <w:t>投标人</w:t>
      </w:r>
      <w:r>
        <w:rPr>
          <w:rFonts w:hint="eastAsia" w:ascii="仿宋" w:hAnsi="仿宋" w:eastAsia="仿宋" w:cs="仿宋"/>
          <w:color w:val="auto"/>
          <w:sz w:val="22"/>
          <w:szCs w:val="22"/>
          <w:highlight w:val="none"/>
        </w:rPr>
        <w:t>将被视为完全认同该招标文件，投标截止期后不再受理针对招标文件的相关质疑、投诉。</w:t>
      </w:r>
    </w:p>
    <w:p w14:paraId="39A13A34">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9.3 对招标文件中描述有歧义或前后不一致的地方，评审委员会有权进行评判，但对同一条款的评判应适用于每个投标人。 </w:t>
      </w:r>
    </w:p>
    <w:p w14:paraId="3981E496">
      <w:pPr>
        <w:spacing w:line="360" w:lineRule="auto"/>
        <w:rPr>
          <w:rFonts w:ascii="黑体" w:hAnsi="黑体" w:eastAsia="黑体" w:cs="黑体"/>
          <w:color w:val="auto"/>
          <w:sz w:val="24"/>
          <w:highlight w:val="none"/>
        </w:rPr>
      </w:pPr>
      <w:r>
        <w:rPr>
          <w:rFonts w:hint="eastAsia" w:ascii="黑体" w:hAnsi="黑体" w:eastAsia="黑体" w:cs="黑体"/>
          <w:color w:val="auto"/>
          <w:sz w:val="24"/>
          <w:highlight w:val="none"/>
        </w:rPr>
        <w:t>10．招标文件的修改</w:t>
      </w:r>
    </w:p>
    <w:p w14:paraId="3C91A519">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10.1 招标文件发出后，在投标截止日期前任何时候，确需要变更招标内容的，</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机构可主动地或在解答投标人提出的澄清问题时对招标文件进行修改；</w:t>
      </w:r>
    </w:p>
    <w:p w14:paraId="000E3623">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10.2 招标文件的修改均在指定网站（详见招标公告中“相关项目信息查询网址”）以网上公告形式发布，并对投标人具有约束力，在项目开标前，投标人有义务上网查看，公告一经上网发布，即视为送达。</w:t>
      </w:r>
    </w:p>
    <w:p w14:paraId="36D9E0A1">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10.3 招标文件、招标文件澄清（答疑）纪要、招标文件修改补充通知内容均以书面明确的内容为准。当招标文件、修改补充通知、澄清（答疑）纪要内容相互矛盾时，以最后发出的通知（或纪要）或修改文件为准；</w:t>
      </w:r>
    </w:p>
    <w:p w14:paraId="78EF60F3">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10.4 </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机构保证招标文件澄清（答疑）纪要和招标文件修改补充通知在投标截止时间前以网站公开发布形式发送给所有投标人。为使投标人在编写投标文件时有充分时间对招标文件的修改部分进行研究，</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机构可以酌情延长递交投标文件的截止日期，具体时间将在修改补充通知中明确。</w:t>
      </w:r>
    </w:p>
    <w:p w14:paraId="51B2CC17">
      <w:pPr>
        <w:snapToGrid w:val="0"/>
        <w:spacing w:line="360" w:lineRule="auto"/>
        <w:ind w:firstLine="431" w:firstLineChars="196"/>
        <w:rPr>
          <w:rFonts w:ascii="仿宋" w:hAnsi="仿宋" w:eastAsia="仿宋" w:cs="仿宋"/>
          <w:color w:val="auto"/>
          <w:sz w:val="22"/>
          <w:szCs w:val="22"/>
          <w:highlight w:val="none"/>
        </w:rPr>
      </w:pPr>
    </w:p>
    <w:p w14:paraId="6E3A79AC">
      <w:pPr>
        <w:pStyle w:val="4"/>
        <w:spacing w:line="360" w:lineRule="auto"/>
        <w:jc w:val="center"/>
        <w:rPr>
          <w:rFonts w:ascii="黑体" w:hAnsi="黑体"/>
          <w:color w:val="auto"/>
          <w:highlight w:val="none"/>
        </w:rPr>
      </w:pPr>
      <w:bookmarkStart w:id="81" w:name="bt投标文件"/>
      <w:bookmarkEnd w:id="81"/>
      <w:bookmarkStart w:id="82" w:name="_Toc73521648"/>
      <w:bookmarkStart w:id="83" w:name="_Toc73521560"/>
      <w:bookmarkStart w:id="84" w:name="_Toc100052377"/>
      <w:bookmarkStart w:id="85" w:name="_Toc73517652"/>
      <w:bookmarkStart w:id="86" w:name="_Toc73518130"/>
      <w:bookmarkStart w:id="87" w:name="_Toc101074879"/>
      <w:bookmarkStart w:id="88" w:name="_Toc13307"/>
      <w:bookmarkStart w:id="89" w:name="_Toc12973"/>
      <w:bookmarkStart w:id="90" w:name="_Toc101432966"/>
      <w:bookmarkStart w:id="91" w:name="_Toc27712"/>
      <w:bookmarkStart w:id="92" w:name="_Toc128564755"/>
      <w:bookmarkStart w:id="93" w:name="_Toc1942"/>
      <w:bookmarkStart w:id="94" w:name="_Toc12807"/>
      <w:bookmarkStart w:id="95" w:name="_Toc8252"/>
      <w:bookmarkStart w:id="96" w:name="_Toc17603"/>
      <w:bookmarkStart w:id="97" w:name="_Toc30371"/>
      <w:bookmarkStart w:id="98" w:name="_Toc14024"/>
      <w:bookmarkStart w:id="99" w:name="_Toc31877"/>
      <w:bookmarkStart w:id="100" w:name="_Toc21579"/>
      <w:r>
        <w:rPr>
          <w:rFonts w:hint="eastAsia" w:ascii="黑体" w:hAnsi="黑体"/>
          <w:color w:val="auto"/>
          <w:highlight w:val="none"/>
        </w:rPr>
        <w:t>第三章  投标文件</w:t>
      </w:r>
      <w:bookmarkEnd w:id="82"/>
      <w:bookmarkEnd w:id="83"/>
      <w:bookmarkEnd w:id="84"/>
      <w:bookmarkEnd w:id="85"/>
      <w:bookmarkEnd w:id="86"/>
      <w:bookmarkEnd w:id="87"/>
      <w:r>
        <w:rPr>
          <w:rFonts w:hint="eastAsia" w:ascii="黑体" w:hAnsi="黑体"/>
          <w:color w:val="auto"/>
          <w:highlight w:val="none"/>
        </w:rPr>
        <w:t>的编制</w:t>
      </w:r>
      <w:bookmarkEnd w:id="88"/>
      <w:bookmarkEnd w:id="89"/>
      <w:bookmarkEnd w:id="90"/>
      <w:bookmarkEnd w:id="91"/>
      <w:bookmarkEnd w:id="92"/>
      <w:bookmarkEnd w:id="93"/>
      <w:bookmarkEnd w:id="94"/>
      <w:bookmarkEnd w:id="95"/>
      <w:bookmarkEnd w:id="96"/>
      <w:bookmarkEnd w:id="97"/>
      <w:bookmarkEnd w:id="98"/>
      <w:bookmarkEnd w:id="99"/>
      <w:bookmarkEnd w:id="100"/>
    </w:p>
    <w:p w14:paraId="59B7C53A">
      <w:pPr>
        <w:spacing w:line="360" w:lineRule="auto"/>
        <w:rPr>
          <w:rFonts w:ascii="黑体" w:hAnsi="黑体" w:eastAsia="黑体" w:cs="黑体"/>
          <w:color w:val="auto"/>
          <w:sz w:val="24"/>
          <w:highlight w:val="none"/>
        </w:rPr>
      </w:pPr>
      <w:bookmarkStart w:id="101" w:name="_Toc60560639"/>
      <w:bookmarkStart w:id="102" w:name="_Toc100052378"/>
      <w:bookmarkStart w:id="103" w:name="_Toc60631634"/>
      <w:bookmarkStart w:id="104" w:name="_Toc73518131"/>
      <w:bookmarkStart w:id="105" w:name="_Toc73521561"/>
      <w:bookmarkStart w:id="106" w:name="_Toc73521649"/>
      <w:bookmarkStart w:id="107" w:name="_Toc73517653"/>
      <w:r>
        <w:rPr>
          <w:rFonts w:hint="eastAsia" w:ascii="黑体" w:hAnsi="黑体" w:eastAsia="黑体" w:cs="黑体"/>
          <w:color w:val="auto"/>
          <w:sz w:val="24"/>
          <w:highlight w:val="none"/>
        </w:rPr>
        <w:t>11．投标文件的语言及度量单位</w:t>
      </w:r>
      <w:bookmarkEnd w:id="101"/>
      <w:bookmarkEnd w:id="102"/>
      <w:bookmarkEnd w:id="103"/>
      <w:bookmarkEnd w:id="104"/>
      <w:bookmarkEnd w:id="105"/>
      <w:bookmarkEnd w:id="106"/>
      <w:bookmarkEnd w:id="107"/>
    </w:p>
    <w:p w14:paraId="76B406E5">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11.1 投标人与</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机构之间与投标有关的所有往来通知、函件和投标文件均用中文表述。投标人随投标文件提供的证明文件和资料可以为其他语言，但必须附中文译文，且应以中文为准；</w:t>
      </w:r>
    </w:p>
    <w:p w14:paraId="5FB30200">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11.2 除技术规范另有规定外，投标文件使用的度量单位，均采用中华人民共和国法定计量单位。</w:t>
      </w:r>
    </w:p>
    <w:p w14:paraId="73800250">
      <w:pPr>
        <w:spacing w:line="360" w:lineRule="auto"/>
        <w:rPr>
          <w:rFonts w:ascii="黑体" w:hAnsi="黑体" w:eastAsia="黑体" w:cs="黑体"/>
          <w:color w:val="auto"/>
          <w:sz w:val="24"/>
          <w:highlight w:val="none"/>
        </w:rPr>
      </w:pPr>
      <w:bookmarkStart w:id="108" w:name="_Toc60631635"/>
      <w:bookmarkStart w:id="109" w:name="_Toc73517654"/>
      <w:bookmarkStart w:id="110" w:name="_Toc100052379"/>
      <w:bookmarkStart w:id="111" w:name="_Toc73518132"/>
      <w:bookmarkStart w:id="112" w:name="_Toc73521650"/>
      <w:bookmarkStart w:id="113" w:name="_Toc60560640"/>
      <w:bookmarkStart w:id="114" w:name="_Toc73521562"/>
      <w:r>
        <w:rPr>
          <w:rFonts w:hint="eastAsia" w:ascii="黑体" w:hAnsi="黑体" w:eastAsia="黑体" w:cs="黑体"/>
          <w:color w:val="auto"/>
          <w:sz w:val="24"/>
          <w:highlight w:val="none"/>
        </w:rPr>
        <w:t>12．投标文件的组成</w:t>
      </w:r>
      <w:bookmarkEnd w:id="108"/>
      <w:bookmarkEnd w:id="109"/>
      <w:bookmarkEnd w:id="110"/>
      <w:bookmarkEnd w:id="111"/>
      <w:bookmarkEnd w:id="112"/>
      <w:bookmarkEnd w:id="113"/>
      <w:bookmarkEnd w:id="114"/>
    </w:p>
    <w:p w14:paraId="52E99326">
      <w:pPr>
        <w:snapToGrid w:val="0"/>
        <w:spacing w:line="360" w:lineRule="auto"/>
        <w:ind w:firstLine="433" w:firstLineChars="196"/>
        <w:rPr>
          <w:rFonts w:ascii="仿宋" w:hAnsi="仿宋" w:eastAsia="仿宋" w:cs="仿宋"/>
          <w:b/>
          <w:color w:val="auto"/>
          <w:sz w:val="22"/>
          <w:szCs w:val="22"/>
          <w:highlight w:val="none"/>
        </w:rPr>
      </w:pPr>
      <w:r>
        <w:rPr>
          <w:rFonts w:hint="eastAsia" w:ascii="仿宋" w:hAnsi="仿宋" w:eastAsia="仿宋" w:cs="仿宋"/>
          <w:b/>
          <w:color w:val="auto"/>
          <w:sz w:val="22"/>
          <w:szCs w:val="22"/>
          <w:highlight w:val="none"/>
        </w:rPr>
        <w:t>（具体内容请详见第二册第五章的相关内容）</w:t>
      </w:r>
      <w:bookmarkStart w:id="115" w:name="投标文件的组成"/>
      <w:bookmarkStart w:id="116" w:name="_Toc60631636"/>
      <w:bookmarkStart w:id="117" w:name="_Toc73521651"/>
      <w:bookmarkStart w:id="118" w:name="_Toc73521563"/>
      <w:bookmarkStart w:id="119" w:name="_Toc73518133"/>
      <w:bookmarkStart w:id="120" w:name="_Toc73517655"/>
      <w:bookmarkStart w:id="121" w:name="_Toc60560641"/>
    </w:p>
    <w:bookmarkEnd w:id="115"/>
    <w:p w14:paraId="50FF29E2">
      <w:pPr>
        <w:spacing w:line="360" w:lineRule="auto"/>
        <w:rPr>
          <w:rFonts w:ascii="黑体" w:hAnsi="黑体" w:eastAsia="黑体" w:cs="黑体"/>
          <w:color w:val="auto"/>
          <w:sz w:val="24"/>
          <w:highlight w:val="none"/>
        </w:rPr>
      </w:pPr>
      <w:bookmarkStart w:id="122" w:name="_Toc100052380"/>
      <w:r>
        <w:rPr>
          <w:rFonts w:hint="eastAsia" w:ascii="黑体" w:hAnsi="黑体" w:eastAsia="黑体" w:cs="黑体"/>
          <w:color w:val="auto"/>
          <w:sz w:val="24"/>
          <w:highlight w:val="none"/>
        </w:rPr>
        <w:t>13．投标文件格式</w:t>
      </w:r>
      <w:bookmarkEnd w:id="116"/>
      <w:bookmarkEnd w:id="117"/>
      <w:bookmarkEnd w:id="118"/>
      <w:bookmarkEnd w:id="119"/>
      <w:bookmarkEnd w:id="120"/>
      <w:bookmarkEnd w:id="121"/>
      <w:bookmarkEnd w:id="122"/>
    </w:p>
    <w:p w14:paraId="09868010">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13.1 投标文件包括本通用条款第12条中规定的内容。如招标文件提供了投标文件格式，则投标人提交的投标文件须使用招标文件所提供的相应格式（格式可以按同样格式扩展），如未使用招标文件所提供的相应格式导致评审委员会无法判断导致扣分或投标无效等情形投标人自行承担后果。</w:t>
      </w:r>
      <w:bookmarkStart w:id="123" w:name="_Toc73521565"/>
      <w:bookmarkStart w:id="124" w:name="_Toc60631638"/>
      <w:bookmarkStart w:id="125" w:name="_Toc73518135"/>
      <w:bookmarkStart w:id="126" w:name="_Toc60560643"/>
      <w:bookmarkStart w:id="127" w:name="_Toc73521653"/>
      <w:bookmarkStart w:id="128" w:name="_Toc73517657"/>
    </w:p>
    <w:p w14:paraId="3A2E212E">
      <w:pPr>
        <w:spacing w:line="360" w:lineRule="auto"/>
        <w:rPr>
          <w:rFonts w:ascii="黑体" w:hAnsi="黑体" w:eastAsia="黑体" w:cs="黑体"/>
          <w:color w:val="auto"/>
          <w:sz w:val="24"/>
          <w:highlight w:val="none"/>
        </w:rPr>
      </w:pPr>
      <w:bookmarkStart w:id="129" w:name="_Toc100052382"/>
      <w:r>
        <w:rPr>
          <w:rFonts w:hint="eastAsia" w:ascii="黑体" w:hAnsi="黑体" w:eastAsia="黑体" w:cs="黑体"/>
          <w:color w:val="auto"/>
          <w:sz w:val="24"/>
          <w:highlight w:val="none"/>
        </w:rPr>
        <w:t>14．投标</w:t>
      </w:r>
      <w:bookmarkEnd w:id="123"/>
      <w:bookmarkEnd w:id="124"/>
      <w:bookmarkEnd w:id="125"/>
      <w:bookmarkEnd w:id="126"/>
      <w:bookmarkEnd w:id="127"/>
      <w:bookmarkEnd w:id="128"/>
      <w:bookmarkEnd w:id="129"/>
      <w:r>
        <w:rPr>
          <w:rFonts w:hint="eastAsia" w:ascii="黑体" w:hAnsi="黑体" w:eastAsia="黑体" w:cs="黑体"/>
          <w:color w:val="auto"/>
          <w:sz w:val="24"/>
          <w:highlight w:val="none"/>
        </w:rPr>
        <w:t>保证金</w:t>
      </w:r>
    </w:p>
    <w:p w14:paraId="533CCE98">
      <w:pPr>
        <w:snapToGrid w:val="0"/>
        <w:spacing w:line="360" w:lineRule="auto"/>
        <w:ind w:firstLine="431" w:firstLineChars="196"/>
        <w:rPr>
          <w:rFonts w:ascii="仿宋" w:hAnsi="仿宋" w:eastAsia="仿宋" w:cs="仿宋"/>
          <w:color w:val="auto"/>
          <w:sz w:val="22"/>
          <w:szCs w:val="22"/>
          <w:highlight w:val="none"/>
        </w:rPr>
      </w:pPr>
      <w:bookmarkStart w:id="130" w:name="_Toc73518136"/>
      <w:bookmarkStart w:id="131" w:name="_Toc60560644"/>
      <w:bookmarkStart w:id="132" w:name="_Toc60631639"/>
      <w:bookmarkStart w:id="133" w:name="_Toc73517658"/>
      <w:bookmarkStart w:id="134" w:name="_Toc73521566"/>
      <w:bookmarkStart w:id="135" w:name="_Toc100052383"/>
      <w:bookmarkStart w:id="136" w:name="_Toc73521654"/>
      <w:r>
        <w:rPr>
          <w:rFonts w:hint="eastAsia" w:ascii="仿宋" w:hAnsi="仿宋" w:eastAsia="仿宋" w:cs="仿宋"/>
          <w:color w:val="auto"/>
          <w:sz w:val="22"/>
          <w:szCs w:val="22"/>
          <w:highlight w:val="none"/>
        </w:rPr>
        <w:t>14.1 投标人应按第二册第二章“投标须知前附表”第</w:t>
      </w:r>
      <w:r>
        <w:rPr>
          <w:rFonts w:ascii="仿宋" w:hAnsi="仿宋" w:eastAsia="仿宋" w:cs="仿宋"/>
          <w:color w:val="auto"/>
          <w:sz w:val="22"/>
          <w:szCs w:val="22"/>
          <w:highlight w:val="none"/>
        </w:rPr>
        <w:t>12</w:t>
      </w:r>
      <w:r>
        <w:rPr>
          <w:rFonts w:hint="eastAsia" w:ascii="仿宋" w:hAnsi="仿宋" w:eastAsia="仿宋" w:cs="仿宋"/>
          <w:color w:val="auto"/>
          <w:sz w:val="22"/>
          <w:szCs w:val="22"/>
          <w:highlight w:val="none"/>
        </w:rPr>
        <w:t>项规定的人民币金额的投标保证金，并作为其投标的一部分。</w:t>
      </w:r>
    </w:p>
    <w:p w14:paraId="63C6AB0D">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14.2 投标保证金是为了保护</w:t>
      </w:r>
      <w:r>
        <w:rPr>
          <w:rFonts w:hint="eastAsia" w:ascii="仿宋" w:hAnsi="仿宋" w:eastAsia="仿宋" w:cs="仿宋"/>
          <w:color w:val="auto"/>
          <w:sz w:val="22"/>
          <w:szCs w:val="22"/>
          <w:highlight w:val="none"/>
          <w:lang w:eastAsia="zh-CN"/>
        </w:rPr>
        <w:t>招标人</w:t>
      </w:r>
      <w:r>
        <w:rPr>
          <w:rFonts w:hint="eastAsia" w:ascii="仿宋" w:hAnsi="仿宋" w:eastAsia="仿宋" w:cs="仿宋"/>
          <w:color w:val="auto"/>
          <w:sz w:val="22"/>
          <w:szCs w:val="22"/>
          <w:highlight w:val="none"/>
        </w:rPr>
        <w:t>免遭因投标人的行为而蒙受的损失，</w:t>
      </w:r>
      <w:r>
        <w:rPr>
          <w:rFonts w:hint="eastAsia" w:ascii="仿宋" w:hAnsi="仿宋" w:eastAsia="仿宋" w:cs="仿宋"/>
          <w:color w:val="auto"/>
          <w:sz w:val="22"/>
          <w:szCs w:val="22"/>
          <w:highlight w:val="none"/>
          <w:lang w:eastAsia="zh-CN"/>
        </w:rPr>
        <w:t>招标人</w:t>
      </w:r>
      <w:r>
        <w:rPr>
          <w:rFonts w:hint="eastAsia" w:ascii="仿宋" w:hAnsi="仿宋" w:eastAsia="仿宋" w:cs="仿宋"/>
          <w:color w:val="auto"/>
          <w:sz w:val="22"/>
          <w:szCs w:val="22"/>
          <w:highlight w:val="none"/>
        </w:rPr>
        <w:t>在因投标人的行为受到损害时可根据本通用条款第14.8款的规定没收投标人的投标保证金。</w:t>
      </w:r>
    </w:p>
    <w:p w14:paraId="618754ED">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14.3 交纳投标保证金应一律从投标</w:t>
      </w:r>
      <w:r>
        <w:rPr>
          <w:rFonts w:hint="eastAsia" w:ascii="仿宋" w:hAnsi="仿宋" w:eastAsia="仿宋" w:cs="仿宋"/>
          <w:color w:val="auto"/>
          <w:sz w:val="22"/>
          <w:szCs w:val="22"/>
          <w:highlight w:val="none"/>
          <w:lang w:eastAsia="zh-CN"/>
        </w:rPr>
        <w:t>人</w:t>
      </w:r>
      <w:r>
        <w:rPr>
          <w:rFonts w:hint="eastAsia" w:ascii="仿宋" w:hAnsi="仿宋" w:eastAsia="仿宋" w:cs="仿宋"/>
          <w:color w:val="auto"/>
          <w:sz w:val="22"/>
          <w:szCs w:val="22"/>
          <w:highlight w:val="none"/>
          <w:lang w:val="en-US" w:eastAsia="zh-CN"/>
        </w:rPr>
        <w:t>对公</w:t>
      </w:r>
      <w:r>
        <w:rPr>
          <w:rFonts w:hint="eastAsia" w:ascii="仿宋" w:hAnsi="仿宋" w:eastAsia="仿宋" w:cs="仿宋"/>
          <w:color w:val="auto"/>
          <w:sz w:val="22"/>
          <w:szCs w:val="22"/>
          <w:highlight w:val="none"/>
        </w:rPr>
        <w:t>账户转出，否则按无效投标保证金处理。</w:t>
      </w:r>
    </w:p>
    <w:p w14:paraId="4C818C01">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14.4 投标保证金应于开标前交于</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w:t>
      </w:r>
    </w:p>
    <w:p w14:paraId="15D43688">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14.5 在开标时，凡没有交纳投标保证金的投标，应视为非响应性投标予以拒绝(以到账时间为准)。</w:t>
      </w:r>
    </w:p>
    <w:p w14:paraId="1CFAB593">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14.6自中标通知书发出之日起5个工作日内，未中标人的投标保证金，须</w:t>
      </w:r>
      <w:r>
        <w:rPr>
          <w:rFonts w:hint="eastAsia" w:ascii="仿宋" w:hAnsi="仿宋" w:eastAsia="仿宋" w:cs="仿宋"/>
          <w:sz w:val="22"/>
          <w:szCs w:val="22"/>
          <w:highlight w:val="none"/>
          <w:lang w:val="en-US" w:eastAsia="zh-CN"/>
        </w:rPr>
        <w:t>通过电子邮件向</w:t>
      </w:r>
      <w:r>
        <w:rPr>
          <w:rFonts w:hint="eastAsia" w:ascii="仿宋" w:hAnsi="仿宋" w:eastAsia="仿宋" w:cs="仿宋"/>
          <w:sz w:val="22"/>
          <w:szCs w:val="22"/>
          <w:highlight w:val="none"/>
          <w:lang w:eastAsia="zh-CN"/>
        </w:rPr>
        <w:t>招标代理</w:t>
      </w:r>
      <w:r>
        <w:rPr>
          <w:rFonts w:hint="eastAsia" w:ascii="仿宋" w:hAnsi="仿宋" w:eastAsia="仿宋" w:cs="仿宋"/>
          <w:sz w:val="22"/>
          <w:szCs w:val="22"/>
          <w:highlight w:val="none"/>
        </w:rPr>
        <w:t>机构</w:t>
      </w:r>
      <w:r>
        <w:rPr>
          <w:rFonts w:hint="eastAsia" w:ascii="仿宋" w:hAnsi="仿宋" w:eastAsia="仿宋" w:cs="仿宋"/>
          <w:sz w:val="22"/>
          <w:szCs w:val="22"/>
          <w:highlight w:val="none"/>
          <w:lang w:val="en-US" w:eastAsia="zh-CN"/>
        </w:rPr>
        <w:t>申请退还保证金</w:t>
      </w:r>
      <w:r>
        <w:rPr>
          <w:rFonts w:hint="eastAsia" w:ascii="仿宋" w:hAnsi="仿宋" w:eastAsia="仿宋" w:cs="仿宋"/>
          <w:sz w:val="22"/>
          <w:szCs w:val="22"/>
          <w:highlight w:val="none"/>
        </w:rPr>
        <w:t>，</w:t>
      </w:r>
      <w:r>
        <w:rPr>
          <w:rFonts w:hint="eastAsia" w:ascii="仿宋" w:hAnsi="仿宋" w:eastAsia="仿宋" w:cs="仿宋"/>
          <w:sz w:val="22"/>
          <w:szCs w:val="22"/>
          <w:highlight w:val="none"/>
          <w:lang w:eastAsia="zh-CN"/>
        </w:rPr>
        <w:t>招标代理</w:t>
      </w:r>
      <w:r>
        <w:rPr>
          <w:rFonts w:hint="eastAsia" w:ascii="仿宋" w:hAnsi="仿宋" w:eastAsia="仿宋" w:cs="仿宋"/>
          <w:sz w:val="22"/>
          <w:szCs w:val="22"/>
          <w:highlight w:val="none"/>
        </w:rPr>
        <w:t>机构不计利息退回。</w:t>
      </w:r>
      <w:r>
        <w:rPr>
          <w:rFonts w:hint="eastAsia" w:ascii="仿宋" w:hAnsi="仿宋" w:eastAsia="仿宋" w:cs="仿宋"/>
          <w:sz w:val="22"/>
          <w:szCs w:val="22"/>
          <w:highlight w:val="none"/>
          <w:lang w:val="en-US" w:eastAsia="zh-CN"/>
        </w:rPr>
        <w:t>未向招标代理机构申请退还保证金</w:t>
      </w:r>
      <w:r>
        <w:rPr>
          <w:rFonts w:hint="eastAsia" w:ascii="仿宋" w:hAnsi="仿宋" w:eastAsia="仿宋" w:cs="仿宋"/>
          <w:sz w:val="22"/>
          <w:szCs w:val="22"/>
          <w:highlight w:val="none"/>
        </w:rPr>
        <w:t>而造成投标保证金逾期退还的，责任由投标人自负，在退还时不计利息。受到质疑、投诉或正在被调查的投标人，在调查结束后，如没有发现违法违规行为的再退回投标保证金。</w:t>
      </w:r>
    </w:p>
    <w:p w14:paraId="2D8AB63B">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sz w:val="22"/>
          <w:szCs w:val="22"/>
          <w:highlight w:val="none"/>
        </w:rPr>
        <w:t>14.7 中标人的投标保证金，在中标人按本通用条款第3</w:t>
      </w:r>
      <w:r>
        <w:rPr>
          <w:rFonts w:hint="eastAsia" w:ascii="仿宋" w:hAnsi="仿宋" w:eastAsia="仿宋" w:cs="仿宋"/>
          <w:sz w:val="22"/>
          <w:szCs w:val="22"/>
          <w:highlight w:val="none"/>
          <w:lang w:val="en-US" w:eastAsia="zh-CN"/>
        </w:rPr>
        <w:t>6</w:t>
      </w:r>
      <w:r>
        <w:rPr>
          <w:rFonts w:hint="eastAsia" w:ascii="仿宋" w:hAnsi="仿宋" w:eastAsia="仿宋" w:cs="仿宋"/>
          <w:sz w:val="22"/>
          <w:szCs w:val="22"/>
          <w:highlight w:val="none"/>
        </w:rPr>
        <w:t>条规定和</w:t>
      </w:r>
      <w:r>
        <w:rPr>
          <w:rFonts w:hint="eastAsia" w:ascii="仿宋" w:hAnsi="仿宋" w:eastAsia="仿宋" w:cs="仿宋"/>
          <w:sz w:val="22"/>
          <w:szCs w:val="22"/>
          <w:highlight w:val="none"/>
          <w:lang w:eastAsia="zh-CN"/>
        </w:rPr>
        <w:t>招标方</w:t>
      </w:r>
      <w:r>
        <w:rPr>
          <w:rFonts w:hint="eastAsia" w:ascii="仿宋" w:hAnsi="仿宋" w:eastAsia="仿宋" w:cs="仿宋"/>
          <w:sz w:val="22"/>
          <w:szCs w:val="22"/>
          <w:highlight w:val="none"/>
        </w:rPr>
        <w:t>签订合同后，并</w:t>
      </w:r>
      <w:r>
        <w:rPr>
          <w:rFonts w:hint="eastAsia" w:ascii="仿宋" w:hAnsi="仿宋" w:eastAsia="仿宋" w:cs="仿宋"/>
          <w:sz w:val="22"/>
          <w:szCs w:val="22"/>
          <w:highlight w:val="none"/>
          <w:lang w:val="en-US" w:eastAsia="zh-CN"/>
        </w:rPr>
        <w:t>向</w:t>
      </w:r>
      <w:r>
        <w:rPr>
          <w:rFonts w:hint="eastAsia" w:ascii="仿宋" w:hAnsi="仿宋" w:eastAsia="仿宋" w:cs="仿宋"/>
          <w:sz w:val="22"/>
          <w:szCs w:val="22"/>
          <w:highlight w:val="none"/>
          <w:lang w:eastAsia="zh-CN"/>
        </w:rPr>
        <w:t>招标代理</w:t>
      </w:r>
      <w:r>
        <w:rPr>
          <w:rFonts w:hint="eastAsia" w:ascii="仿宋" w:hAnsi="仿宋" w:eastAsia="仿宋" w:cs="仿宋"/>
          <w:sz w:val="22"/>
          <w:szCs w:val="22"/>
          <w:highlight w:val="none"/>
        </w:rPr>
        <w:t>机构</w:t>
      </w:r>
      <w:r>
        <w:rPr>
          <w:rFonts w:hint="eastAsia" w:ascii="仿宋" w:hAnsi="仿宋" w:eastAsia="仿宋" w:cs="仿宋"/>
          <w:sz w:val="22"/>
          <w:szCs w:val="22"/>
          <w:highlight w:val="none"/>
          <w:lang w:val="en-US" w:eastAsia="zh-CN"/>
        </w:rPr>
        <w:t>申请退还保证金</w:t>
      </w:r>
      <w:r>
        <w:rPr>
          <w:rFonts w:hint="eastAsia" w:ascii="仿宋" w:hAnsi="仿宋" w:eastAsia="仿宋" w:cs="仿宋"/>
          <w:sz w:val="22"/>
          <w:szCs w:val="22"/>
          <w:highlight w:val="none"/>
        </w:rPr>
        <w:t>后，</w:t>
      </w:r>
      <w:r>
        <w:rPr>
          <w:rFonts w:hint="eastAsia" w:ascii="仿宋" w:hAnsi="仿宋" w:eastAsia="仿宋" w:cs="仿宋"/>
          <w:sz w:val="22"/>
          <w:szCs w:val="22"/>
          <w:highlight w:val="none"/>
          <w:lang w:eastAsia="zh-CN"/>
        </w:rPr>
        <w:t>招标代理</w:t>
      </w:r>
      <w:r>
        <w:rPr>
          <w:rFonts w:hint="eastAsia" w:ascii="仿宋" w:hAnsi="仿宋" w:eastAsia="仿宋" w:cs="仿宋"/>
          <w:sz w:val="22"/>
          <w:szCs w:val="22"/>
          <w:highlight w:val="none"/>
        </w:rPr>
        <w:t>机构将在五个工作日内退还。因银行对提取现金有限制，</w:t>
      </w:r>
      <w:r>
        <w:rPr>
          <w:rFonts w:hint="eastAsia" w:ascii="仿宋" w:hAnsi="仿宋" w:eastAsia="仿宋" w:cs="仿宋"/>
          <w:sz w:val="22"/>
          <w:szCs w:val="22"/>
          <w:highlight w:val="none"/>
          <w:lang w:eastAsia="zh-CN"/>
        </w:rPr>
        <w:t>招标代理</w:t>
      </w:r>
      <w:r>
        <w:rPr>
          <w:rFonts w:hint="eastAsia" w:ascii="仿宋" w:hAnsi="仿宋" w:eastAsia="仿宋" w:cs="仿宋"/>
          <w:sz w:val="22"/>
          <w:szCs w:val="22"/>
          <w:highlight w:val="none"/>
        </w:rPr>
        <w:t>机构收取的投标保证金一律用转账方式退还。</w:t>
      </w:r>
    </w:p>
    <w:p w14:paraId="5882DAFD">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14.8 下列任何情况发生时，投标保证金将被没收：</w:t>
      </w:r>
    </w:p>
    <w:p w14:paraId="5D9A2F3B">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（1）投标人在投标函格式中规定的投标有效期内撤回其投标。</w:t>
      </w:r>
    </w:p>
    <w:p w14:paraId="71AB82F8">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（2）中标人在规定期限内未能根据本通用条款第3</w:t>
      </w:r>
      <w:r>
        <w:rPr>
          <w:rFonts w:hint="eastAsia" w:ascii="仿宋" w:hAnsi="仿宋" w:eastAsia="仿宋" w:cs="仿宋"/>
          <w:color w:val="auto"/>
          <w:sz w:val="22"/>
          <w:szCs w:val="22"/>
          <w:highlight w:val="none"/>
          <w:lang w:val="en-US" w:eastAsia="zh-CN"/>
        </w:rPr>
        <w:t>6</w:t>
      </w:r>
      <w:r>
        <w:rPr>
          <w:rFonts w:hint="eastAsia" w:ascii="仿宋" w:hAnsi="仿宋" w:eastAsia="仿宋" w:cs="仿宋"/>
          <w:color w:val="auto"/>
          <w:sz w:val="22"/>
          <w:szCs w:val="22"/>
          <w:highlight w:val="none"/>
        </w:rPr>
        <w:t>条规定签订合同；</w:t>
      </w:r>
    </w:p>
    <w:p w14:paraId="1C1C1F69">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（3）隐瞒投标的真实情况、投标文件中提供虚假材料或者虚假补充文件或者故意进行无效投标或者质疑投诉提供虚假情况；</w:t>
      </w:r>
    </w:p>
    <w:p w14:paraId="0F508929">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（4）在投标人之间相互串通，事先商定投标价格或者合谋使特定投标人中标的；</w:t>
      </w:r>
    </w:p>
    <w:p w14:paraId="38035866">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（5）采用不正当手段妨碍、排挤其它投标人的；</w:t>
      </w:r>
    </w:p>
    <w:p w14:paraId="74BC41C1">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（6）向</w:t>
      </w:r>
      <w:r>
        <w:rPr>
          <w:rFonts w:hint="eastAsia" w:ascii="仿宋" w:hAnsi="仿宋" w:eastAsia="仿宋" w:cs="仿宋"/>
          <w:color w:val="auto"/>
          <w:sz w:val="22"/>
          <w:szCs w:val="22"/>
          <w:highlight w:val="none"/>
          <w:lang w:eastAsia="zh-CN"/>
        </w:rPr>
        <w:t>招标人</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机构行贿或者提供其它不正当利益的；</w:t>
      </w:r>
    </w:p>
    <w:p w14:paraId="29DF2771">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（7）与</w:t>
      </w:r>
      <w:r>
        <w:rPr>
          <w:rFonts w:hint="eastAsia" w:ascii="仿宋" w:hAnsi="仿宋" w:eastAsia="仿宋" w:cs="仿宋"/>
          <w:color w:val="auto"/>
          <w:sz w:val="22"/>
          <w:szCs w:val="22"/>
          <w:highlight w:val="none"/>
          <w:lang w:eastAsia="zh-CN"/>
        </w:rPr>
        <w:t>招标人</w:t>
      </w:r>
      <w:r>
        <w:rPr>
          <w:rFonts w:hint="eastAsia" w:ascii="仿宋" w:hAnsi="仿宋" w:eastAsia="仿宋" w:cs="仿宋"/>
          <w:color w:val="auto"/>
          <w:sz w:val="22"/>
          <w:szCs w:val="22"/>
          <w:highlight w:val="none"/>
        </w:rPr>
        <w:t>和</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机构串通投标的；</w:t>
      </w:r>
    </w:p>
    <w:p w14:paraId="6E5AAC06">
      <w:pPr>
        <w:snapToGrid w:val="0"/>
        <w:spacing w:line="360" w:lineRule="auto"/>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（8）其它严重违反《中华人民共和国招标投标法》和《中华人民共和国招标投标法实施条例》等相关法律法规的。</w:t>
      </w:r>
    </w:p>
    <w:p w14:paraId="6EB508FB">
      <w:pPr>
        <w:spacing w:line="360" w:lineRule="auto"/>
        <w:rPr>
          <w:rFonts w:ascii="黑体" w:hAnsi="黑体" w:eastAsia="黑体" w:cs="黑体"/>
          <w:color w:val="auto"/>
          <w:sz w:val="24"/>
          <w:highlight w:val="none"/>
        </w:rPr>
      </w:pPr>
      <w:r>
        <w:rPr>
          <w:rFonts w:hint="eastAsia" w:ascii="黑体" w:hAnsi="黑体" w:eastAsia="黑体" w:cs="黑体"/>
          <w:color w:val="auto"/>
          <w:sz w:val="24"/>
          <w:highlight w:val="none"/>
        </w:rPr>
        <w:t>15．投标有效期</w:t>
      </w:r>
      <w:bookmarkEnd w:id="130"/>
      <w:bookmarkEnd w:id="131"/>
      <w:bookmarkEnd w:id="132"/>
      <w:bookmarkEnd w:id="133"/>
      <w:bookmarkEnd w:id="134"/>
      <w:bookmarkEnd w:id="135"/>
      <w:bookmarkEnd w:id="136"/>
    </w:p>
    <w:p w14:paraId="165F109B">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15.1 投标有效期为从投标截止之日算起</w:t>
      </w:r>
      <w:r>
        <w:rPr>
          <w:rFonts w:hint="eastAsia" w:ascii="仿宋" w:hAnsi="仿宋" w:eastAsia="仿宋" w:cs="仿宋"/>
          <w:color w:val="auto"/>
          <w:sz w:val="22"/>
          <w:szCs w:val="22"/>
          <w:highlight w:val="none"/>
          <w:u w:val="single"/>
        </w:rPr>
        <w:t>120</w:t>
      </w:r>
      <w:r>
        <w:rPr>
          <w:rFonts w:hint="eastAsia" w:ascii="仿宋" w:hAnsi="仿宋" w:eastAsia="仿宋" w:cs="仿宋"/>
          <w:color w:val="auto"/>
          <w:sz w:val="22"/>
          <w:szCs w:val="22"/>
          <w:highlight w:val="none"/>
        </w:rPr>
        <w:t>个日历天，在此期限内，所有投标文件均保持有效；</w:t>
      </w:r>
    </w:p>
    <w:p w14:paraId="14FD5C84">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15.2 在特殊的情况下，</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机构在原定的投标有效期满之前，</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机构可以根据需要以书面形式向投标人提出延长投标有效期的要求，对此要求投标人须以书面形式予以答复，投标人可以拒绝</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机构此项要求，其投标在原投标有效期满后不再有效。同意延长投标有效期的投标人不能要求也不允许修改其投标文件；</w:t>
      </w:r>
    </w:p>
    <w:p w14:paraId="37AB36B3">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15.3 中标</w:t>
      </w:r>
      <w:r>
        <w:rPr>
          <w:rFonts w:hint="eastAsia" w:ascii="仿宋" w:hAnsi="仿宋" w:eastAsia="仿宋" w:cs="仿宋"/>
          <w:color w:val="auto"/>
          <w:sz w:val="22"/>
          <w:szCs w:val="22"/>
          <w:highlight w:val="none"/>
          <w:lang w:eastAsia="zh-CN"/>
        </w:rPr>
        <w:t>人</w:t>
      </w:r>
      <w:r>
        <w:rPr>
          <w:rFonts w:hint="eastAsia" w:ascii="仿宋" w:hAnsi="仿宋" w:eastAsia="仿宋" w:cs="仿宋"/>
          <w:color w:val="auto"/>
          <w:sz w:val="22"/>
          <w:szCs w:val="22"/>
          <w:highlight w:val="none"/>
        </w:rPr>
        <w:t>的投标书有效期，截止于完成本招标文件规定的全部项目内容，并通过验收及保修结束。</w:t>
      </w:r>
    </w:p>
    <w:p w14:paraId="52336472">
      <w:pPr>
        <w:spacing w:line="360" w:lineRule="auto"/>
        <w:rPr>
          <w:rFonts w:ascii="黑体" w:hAnsi="黑体" w:eastAsia="黑体" w:cs="黑体"/>
          <w:color w:val="auto"/>
          <w:sz w:val="24"/>
          <w:highlight w:val="none"/>
        </w:rPr>
      </w:pPr>
      <w:bookmarkStart w:id="137" w:name="_Toc60560646"/>
      <w:bookmarkStart w:id="138" w:name="_Toc73517660"/>
      <w:bookmarkStart w:id="139" w:name="_Toc73521568"/>
      <w:bookmarkStart w:id="140" w:name="_Toc73518138"/>
      <w:bookmarkStart w:id="141" w:name="_Toc100052385"/>
      <w:bookmarkStart w:id="142" w:name="_Toc73521656"/>
      <w:bookmarkStart w:id="143" w:name="_Toc60631641"/>
      <w:r>
        <w:rPr>
          <w:rFonts w:hint="eastAsia" w:ascii="黑体" w:hAnsi="黑体" w:eastAsia="黑体" w:cs="黑体"/>
          <w:color w:val="auto"/>
          <w:sz w:val="24"/>
          <w:highlight w:val="none"/>
        </w:rPr>
        <w:t>16．投标人的替代方案</w:t>
      </w:r>
      <w:bookmarkEnd w:id="137"/>
      <w:bookmarkEnd w:id="138"/>
      <w:bookmarkEnd w:id="139"/>
      <w:bookmarkEnd w:id="140"/>
      <w:bookmarkEnd w:id="141"/>
      <w:bookmarkEnd w:id="142"/>
      <w:bookmarkEnd w:id="143"/>
    </w:p>
    <w:p w14:paraId="09C45984">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16.1 投标人所提交的投标文件应完全满足招标文件（包括图纸和技术规范所示的基本技术设计）的要求。除非“投标须知前附表”中允许投标人提交替代方案，否则投标人有关替代方案的条款将不予考虑。</w:t>
      </w:r>
    </w:p>
    <w:p w14:paraId="4FB0C150">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16.2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p w14:paraId="6CAB1821">
      <w:pPr>
        <w:spacing w:line="360" w:lineRule="auto"/>
        <w:rPr>
          <w:rFonts w:ascii="黑体" w:hAnsi="黑体" w:eastAsia="黑体" w:cs="黑体"/>
          <w:color w:val="auto"/>
          <w:sz w:val="24"/>
          <w:highlight w:val="none"/>
        </w:rPr>
      </w:pPr>
      <w:bookmarkStart w:id="144" w:name="_Toc73521569"/>
      <w:bookmarkStart w:id="145" w:name="_Toc73521657"/>
      <w:bookmarkStart w:id="146" w:name="_Toc73518139"/>
      <w:bookmarkStart w:id="147" w:name="_Toc100052386"/>
      <w:bookmarkStart w:id="148" w:name="_Toc73517661"/>
      <w:r>
        <w:rPr>
          <w:rFonts w:hint="eastAsia" w:ascii="黑体" w:hAnsi="黑体" w:eastAsia="黑体" w:cs="黑体"/>
          <w:color w:val="auto"/>
          <w:sz w:val="24"/>
          <w:highlight w:val="none"/>
        </w:rPr>
        <w:t>17．投标文件的制作要求</w:t>
      </w:r>
      <w:bookmarkEnd w:id="144"/>
      <w:bookmarkEnd w:id="145"/>
      <w:bookmarkEnd w:id="146"/>
      <w:bookmarkEnd w:id="147"/>
      <w:bookmarkEnd w:id="148"/>
    </w:p>
    <w:p w14:paraId="0655A479">
      <w:pPr>
        <w:snapToGrid w:val="0"/>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17.1 投标人应当按《投标须知前附表》中规定的份数制作所投招标项目的纸质投标文件，用于现场投标。</w:t>
      </w:r>
    </w:p>
    <w:p w14:paraId="7753BB7F">
      <w:pPr>
        <w:snapToGrid w:val="0"/>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17.2 纸质投标文件须根据</w:t>
      </w:r>
      <w:r>
        <w:rPr>
          <w:rFonts w:hint="eastAsia" w:ascii="仿宋" w:hAnsi="仿宋" w:eastAsia="仿宋" w:cs="仿宋"/>
          <w:b/>
          <w:color w:val="auto"/>
          <w:spacing w:val="8"/>
          <w:sz w:val="22"/>
          <w:szCs w:val="28"/>
          <w:highlight w:val="none"/>
        </w:rPr>
        <w:t>深圳市宝安区建设工程监理有限公司</w:t>
      </w:r>
      <w:r>
        <w:rPr>
          <w:rFonts w:hint="eastAsia" w:ascii="仿宋" w:hAnsi="仿宋" w:eastAsia="仿宋" w:cs="仿宋"/>
          <w:color w:val="auto"/>
          <w:sz w:val="22"/>
          <w:szCs w:val="22"/>
          <w:highlight w:val="none"/>
        </w:rPr>
        <w:t>编制的投标文件模板，按照其要求编制。</w:t>
      </w:r>
    </w:p>
    <w:p w14:paraId="554C9401">
      <w:pPr>
        <w:snapToGrid w:val="0"/>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17.3 投标人在利用投标文件模板编制投标文件时须注意：</w:t>
      </w:r>
    </w:p>
    <w:p w14:paraId="70FB2797">
      <w:pPr>
        <w:snapToGrid w:val="0"/>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17.3.1 除模板中要求填写、添加的内容外，不得对其他文字内容做任何改动。如果因操作失误而改动的，以模板中的文字叙述为准。</w:t>
      </w:r>
    </w:p>
    <w:p w14:paraId="1A7A9952">
      <w:pPr>
        <w:snapToGrid w:val="0"/>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17.3.2 投标文件项目编号、包号应与招标文件项目编号、包号一致。</w:t>
      </w:r>
    </w:p>
    <w:p w14:paraId="28C3FCB1">
      <w:pPr>
        <w:snapToGrid w:val="0"/>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17.3.3 必须完整、准确填写投标文件模板要求填写内容，不能填写如“*、\、[、&amp;”等特殊字符。模板固定的格式内容和文字叙述，不得改变，如果因改变叙述而与模板的原叙述相冲突者，以模板的叙述为准。</w:t>
      </w:r>
    </w:p>
    <w:p w14:paraId="44FEE9F1">
      <w:pPr>
        <w:snapToGrid w:val="0"/>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17.3.4 投标文件所提供的证明材料须清晰，若提供的证明材料不清晰，将可能以不利于投标人的判断进行处理。</w:t>
      </w:r>
    </w:p>
    <w:p w14:paraId="7FBA849C">
      <w:pPr>
        <w:snapToGrid w:val="0"/>
        <w:spacing w:line="360" w:lineRule="auto"/>
        <w:ind w:firstLine="330" w:firstLineChars="150"/>
        <w:rPr>
          <w:rFonts w:ascii="仿宋" w:hAnsi="仿宋" w:eastAsia="仿宋" w:cs="仿宋"/>
          <w:color w:val="auto"/>
          <w:sz w:val="22"/>
          <w:szCs w:val="22"/>
          <w:highlight w:val="none"/>
        </w:rPr>
      </w:pPr>
    </w:p>
    <w:p w14:paraId="3D2992CB">
      <w:pPr>
        <w:pStyle w:val="4"/>
        <w:spacing w:line="360" w:lineRule="auto"/>
        <w:jc w:val="center"/>
        <w:rPr>
          <w:rFonts w:ascii="黑体" w:hAnsi="黑体"/>
          <w:color w:val="auto"/>
          <w:highlight w:val="none"/>
        </w:rPr>
      </w:pPr>
      <w:bookmarkStart w:id="149" w:name="_Toc100052387"/>
      <w:bookmarkStart w:id="150" w:name="_Toc73521658"/>
      <w:bookmarkStart w:id="151" w:name="_Toc101074880"/>
      <w:bookmarkStart w:id="152" w:name="_Toc73518140"/>
      <w:bookmarkStart w:id="153" w:name="_Toc73517662"/>
      <w:bookmarkStart w:id="154" w:name="_Toc73521570"/>
      <w:bookmarkStart w:id="155" w:name="_Toc14921"/>
      <w:bookmarkStart w:id="156" w:name="_Toc128564756"/>
      <w:bookmarkStart w:id="157" w:name="_Toc101432967"/>
      <w:bookmarkStart w:id="158" w:name="_Toc8327"/>
      <w:bookmarkStart w:id="159" w:name="_Toc23741"/>
      <w:bookmarkStart w:id="160" w:name="_Toc26723"/>
      <w:bookmarkStart w:id="161" w:name="_Toc15721"/>
      <w:bookmarkStart w:id="162" w:name="_Toc24612"/>
      <w:bookmarkStart w:id="163" w:name="_Toc28421"/>
      <w:bookmarkStart w:id="164" w:name="_Toc1751"/>
      <w:bookmarkStart w:id="165" w:name="_Toc28846"/>
      <w:bookmarkStart w:id="166" w:name="_Toc28338"/>
      <w:bookmarkStart w:id="167" w:name="_Toc22643"/>
      <w:r>
        <w:rPr>
          <w:rFonts w:hint="eastAsia" w:ascii="黑体" w:hAnsi="黑体"/>
          <w:color w:val="auto"/>
          <w:highlight w:val="none"/>
        </w:rPr>
        <w:t>第四章  投标文件</w:t>
      </w:r>
      <w:bookmarkEnd w:id="149"/>
      <w:bookmarkEnd w:id="150"/>
      <w:bookmarkEnd w:id="151"/>
      <w:bookmarkEnd w:id="152"/>
      <w:bookmarkEnd w:id="153"/>
      <w:bookmarkEnd w:id="154"/>
      <w:r>
        <w:rPr>
          <w:rFonts w:hint="eastAsia" w:ascii="黑体" w:hAnsi="黑体"/>
          <w:color w:val="auto"/>
          <w:highlight w:val="none"/>
        </w:rPr>
        <w:t>的递交</w:t>
      </w:r>
      <w:bookmarkEnd w:id="155"/>
      <w:bookmarkEnd w:id="156"/>
      <w:bookmarkEnd w:id="157"/>
      <w:bookmarkEnd w:id="158"/>
      <w:bookmarkEnd w:id="159"/>
      <w:bookmarkEnd w:id="160"/>
      <w:bookmarkEnd w:id="161"/>
      <w:bookmarkEnd w:id="162"/>
      <w:bookmarkEnd w:id="163"/>
      <w:bookmarkEnd w:id="164"/>
      <w:bookmarkEnd w:id="165"/>
      <w:bookmarkEnd w:id="166"/>
      <w:bookmarkEnd w:id="167"/>
    </w:p>
    <w:p w14:paraId="2E69419C">
      <w:pPr>
        <w:spacing w:line="360" w:lineRule="auto"/>
        <w:rPr>
          <w:rFonts w:ascii="黑体" w:hAnsi="黑体" w:eastAsia="黑体" w:cs="黑体"/>
          <w:color w:val="auto"/>
          <w:sz w:val="24"/>
          <w:highlight w:val="none"/>
        </w:rPr>
      </w:pPr>
      <w:bookmarkStart w:id="168" w:name="_Toc60560649"/>
      <w:bookmarkStart w:id="169" w:name="_Toc73521659"/>
      <w:bookmarkStart w:id="170" w:name="_Toc73518141"/>
      <w:bookmarkStart w:id="171" w:name="_Toc100052388"/>
      <w:bookmarkStart w:id="172" w:name="_Toc60631644"/>
      <w:bookmarkStart w:id="173" w:name="_Toc73517663"/>
      <w:bookmarkStart w:id="174" w:name="_Toc73521571"/>
      <w:r>
        <w:rPr>
          <w:rFonts w:hint="eastAsia" w:ascii="黑体" w:hAnsi="黑体" w:eastAsia="黑体" w:cs="黑体"/>
          <w:color w:val="auto"/>
          <w:sz w:val="24"/>
          <w:highlight w:val="none"/>
        </w:rPr>
        <w:t>18．投标文件的递交</w:t>
      </w:r>
    </w:p>
    <w:p w14:paraId="1E6EE631">
      <w:pPr>
        <w:snapToGrid w:val="0"/>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18.1 </w:t>
      </w:r>
      <w:r>
        <w:rPr>
          <w:rFonts w:hint="eastAsia" w:ascii="仿宋" w:hAnsi="仿宋" w:eastAsia="仿宋" w:cs="仿宋"/>
          <w:color w:val="auto"/>
          <w:sz w:val="22"/>
          <w:szCs w:val="28"/>
          <w:highlight w:val="none"/>
        </w:rPr>
        <w:t>投标文件的装订和签署</w:t>
      </w:r>
      <w:r>
        <w:rPr>
          <w:rFonts w:hint="eastAsia" w:ascii="仿宋" w:hAnsi="仿宋" w:eastAsia="仿宋" w:cs="仿宋"/>
          <w:color w:val="auto"/>
          <w:sz w:val="22"/>
          <w:szCs w:val="22"/>
          <w:highlight w:val="none"/>
        </w:rPr>
        <w:t>。</w:t>
      </w:r>
    </w:p>
    <w:p w14:paraId="61C98328">
      <w:pPr>
        <w:snapToGrid w:val="0"/>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18.1.1 投标文件由三部分组成，</w:t>
      </w:r>
      <w:r>
        <w:rPr>
          <w:rFonts w:hint="eastAsia" w:ascii="仿宋" w:hAnsi="仿宋" w:eastAsia="仿宋" w:cs="仿宋"/>
          <w:b/>
          <w:bCs/>
          <w:color w:val="auto"/>
          <w:sz w:val="22"/>
          <w:szCs w:val="22"/>
          <w:highlight w:val="none"/>
        </w:rPr>
        <w:t>第一部分</w:t>
      </w:r>
      <w:r>
        <w:rPr>
          <w:rFonts w:hint="eastAsia" w:ascii="仿宋" w:hAnsi="仿宋" w:eastAsia="仿宋" w:cs="仿宋"/>
          <w:color w:val="auto"/>
          <w:sz w:val="22"/>
          <w:szCs w:val="22"/>
          <w:highlight w:val="none"/>
        </w:rPr>
        <w:t>为一式</w:t>
      </w:r>
      <w:r>
        <w:rPr>
          <w:rFonts w:hint="eastAsia" w:ascii="仿宋" w:hAnsi="仿宋" w:eastAsia="仿宋" w:cs="仿宋"/>
          <w:color w:val="auto"/>
          <w:sz w:val="22"/>
          <w:szCs w:val="22"/>
          <w:highlight w:val="none"/>
          <w:lang w:val="en-US" w:eastAsia="zh-CN"/>
        </w:rPr>
        <w:t>捌</w:t>
      </w:r>
      <w:r>
        <w:rPr>
          <w:rFonts w:hint="eastAsia" w:ascii="仿宋" w:hAnsi="仿宋" w:eastAsia="仿宋" w:cs="仿宋"/>
          <w:color w:val="auto"/>
          <w:sz w:val="22"/>
          <w:szCs w:val="22"/>
          <w:highlight w:val="none"/>
        </w:rPr>
        <w:t>份装订成册的纸质投标文件，其中，</w:t>
      </w:r>
      <w:r>
        <w:rPr>
          <w:rFonts w:hint="eastAsia" w:ascii="仿宋" w:hAnsi="仿宋" w:eastAsia="仿宋" w:cs="仿宋"/>
          <w:b/>
          <w:bCs/>
          <w:color w:val="auto"/>
          <w:sz w:val="22"/>
          <w:szCs w:val="22"/>
          <w:highlight w:val="none"/>
        </w:rPr>
        <w:t>正本</w:t>
      </w:r>
      <w:r>
        <w:rPr>
          <w:rFonts w:hint="eastAsia" w:ascii="仿宋" w:hAnsi="仿宋" w:eastAsia="仿宋" w:cs="仿宋"/>
          <w:b/>
          <w:bCs/>
          <w:color w:val="auto"/>
          <w:sz w:val="22"/>
          <w:szCs w:val="22"/>
          <w:highlight w:val="none"/>
          <w:u w:val="single"/>
        </w:rPr>
        <w:t>一</w:t>
      </w:r>
      <w:r>
        <w:rPr>
          <w:rFonts w:hint="eastAsia" w:ascii="仿宋" w:hAnsi="仿宋" w:eastAsia="仿宋" w:cs="仿宋"/>
          <w:b/>
          <w:bCs/>
          <w:color w:val="auto"/>
          <w:sz w:val="22"/>
          <w:szCs w:val="22"/>
          <w:highlight w:val="none"/>
        </w:rPr>
        <w:t>份、副本</w:t>
      </w:r>
      <w:r>
        <w:rPr>
          <w:rFonts w:hint="eastAsia" w:ascii="仿宋" w:hAnsi="仿宋" w:eastAsia="仿宋" w:cs="仿宋"/>
          <w:b/>
          <w:bCs/>
          <w:color w:val="auto"/>
          <w:sz w:val="22"/>
          <w:szCs w:val="22"/>
          <w:highlight w:val="none"/>
          <w:u w:val="single"/>
          <w:lang w:val="en-US" w:eastAsia="zh-CN"/>
        </w:rPr>
        <w:t>七</w:t>
      </w:r>
      <w:r>
        <w:rPr>
          <w:rFonts w:hint="eastAsia" w:ascii="仿宋" w:hAnsi="仿宋" w:eastAsia="仿宋" w:cs="仿宋"/>
          <w:b/>
          <w:bCs/>
          <w:color w:val="auto"/>
          <w:sz w:val="22"/>
          <w:szCs w:val="22"/>
          <w:highlight w:val="none"/>
        </w:rPr>
        <w:t>份</w:t>
      </w:r>
      <w:r>
        <w:rPr>
          <w:rFonts w:hint="eastAsia" w:ascii="仿宋" w:hAnsi="仿宋" w:eastAsia="仿宋" w:cs="仿宋"/>
          <w:color w:val="auto"/>
          <w:sz w:val="22"/>
          <w:szCs w:val="22"/>
          <w:highlight w:val="none"/>
        </w:rPr>
        <w:t>；</w:t>
      </w:r>
      <w:r>
        <w:rPr>
          <w:rFonts w:hint="eastAsia" w:ascii="仿宋" w:hAnsi="仿宋" w:eastAsia="仿宋" w:cs="仿宋"/>
          <w:b/>
          <w:bCs/>
          <w:color w:val="auto"/>
          <w:sz w:val="22"/>
          <w:szCs w:val="22"/>
          <w:highlight w:val="none"/>
        </w:rPr>
        <w:t>第二部分</w:t>
      </w:r>
      <w:r>
        <w:rPr>
          <w:rFonts w:hint="eastAsia" w:ascii="仿宋" w:hAnsi="仿宋" w:eastAsia="仿宋" w:cs="仿宋"/>
          <w:color w:val="auto"/>
          <w:sz w:val="22"/>
          <w:szCs w:val="22"/>
          <w:highlight w:val="none"/>
        </w:rPr>
        <w:t>为</w:t>
      </w:r>
      <w:r>
        <w:rPr>
          <w:rFonts w:hint="eastAsia" w:ascii="仿宋" w:hAnsi="仿宋" w:eastAsia="仿宋" w:cs="仿宋"/>
          <w:b/>
          <w:color w:val="auto"/>
          <w:sz w:val="22"/>
          <w:szCs w:val="22"/>
          <w:highlight w:val="none"/>
        </w:rPr>
        <w:t>以光盘</w:t>
      </w:r>
      <w:r>
        <w:rPr>
          <w:rFonts w:hint="eastAsia" w:ascii="仿宋" w:hAnsi="仿宋" w:eastAsia="仿宋" w:cs="仿宋"/>
          <w:b/>
          <w:color w:val="auto"/>
          <w:sz w:val="22"/>
          <w:szCs w:val="22"/>
          <w:highlight w:val="none"/>
          <w:lang w:val="en-US" w:eastAsia="zh-CN"/>
        </w:rPr>
        <w:t>或</w:t>
      </w:r>
      <w:r>
        <w:rPr>
          <w:rFonts w:hint="eastAsia" w:ascii="仿宋" w:hAnsi="仿宋" w:eastAsia="仿宋" w:cs="仿宋"/>
          <w:b/>
          <w:color w:val="auto"/>
          <w:sz w:val="22"/>
          <w:szCs w:val="22"/>
          <w:highlight w:val="none"/>
        </w:rPr>
        <w:t>U盘或硬盘等移动存储介质</w:t>
      </w:r>
      <w:r>
        <w:rPr>
          <w:rFonts w:hint="eastAsia" w:ascii="仿宋" w:hAnsi="仿宋" w:eastAsia="仿宋" w:cs="仿宋"/>
          <w:color w:val="auto"/>
          <w:sz w:val="22"/>
          <w:szCs w:val="22"/>
          <w:highlight w:val="none"/>
        </w:rPr>
        <w:t>提交的一份加盖公章的PDF电子投标文件。电子投标文件内容应与纸质投标文件</w:t>
      </w:r>
      <w:r>
        <w:rPr>
          <w:rFonts w:hint="eastAsia" w:ascii="仿宋" w:hAnsi="仿宋" w:eastAsia="仿宋" w:cs="仿宋"/>
          <w:b/>
          <w:bCs/>
          <w:color w:val="auto"/>
          <w:sz w:val="22"/>
          <w:szCs w:val="22"/>
          <w:highlight w:val="none"/>
        </w:rPr>
        <w:t>正本</w:t>
      </w:r>
      <w:r>
        <w:rPr>
          <w:rFonts w:hint="eastAsia" w:ascii="仿宋" w:hAnsi="仿宋" w:eastAsia="仿宋" w:cs="仿宋"/>
          <w:color w:val="auto"/>
          <w:sz w:val="22"/>
          <w:szCs w:val="22"/>
          <w:highlight w:val="none"/>
        </w:rPr>
        <w:t>内容一致，如有差异以纸质投标文件</w:t>
      </w:r>
      <w:r>
        <w:rPr>
          <w:rFonts w:hint="eastAsia" w:ascii="仿宋" w:hAnsi="仿宋" w:eastAsia="仿宋" w:cs="仿宋"/>
          <w:b/>
          <w:bCs/>
          <w:color w:val="auto"/>
          <w:sz w:val="22"/>
          <w:szCs w:val="22"/>
          <w:highlight w:val="none"/>
        </w:rPr>
        <w:t>正本</w:t>
      </w:r>
      <w:r>
        <w:rPr>
          <w:rFonts w:hint="eastAsia" w:ascii="仿宋" w:hAnsi="仿宋" w:eastAsia="仿宋" w:cs="仿宋"/>
          <w:color w:val="auto"/>
          <w:sz w:val="22"/>
          <w:szCs w:val="22"/>
          <w:highlight w:val="none"/>
        </w:rPr>
        <w:t>为准；纸质投标文件</w:t>
      </w:r>
      <w:r>
        <w:rPr>
          <w:rFonts w:hint="eastAsia" w:ascii="仿宋" w:hAnsi="仿宋" w:eastAsia="仿宋" w:cs="仿宋"/>
          <w:b/>
          <w:bCs/>
          <w:color w:val="auto"/>
          <w:sz w:val="22"/>
          <w:szCs w:val="22"/>
          <w:highlight w:val="none"/>
        </w:rPr>
        <w:t>正本副本</w:t>
      </w:r>
      <w:r>
        <w:rPr>
          <w:rFonts w:hint="eastAsia" w:ascii="仿宋" w:hAnsi="仿宋" w:eastAsia="仿宋" w:cs="仿宋"/>
          <w:bCs/>
          <w:color w:val="auto"/>
          <w:sz w:val="22"/>
          <w:szCs w:val="22"/>
          <w:highlight w:val="none"/>
        </w:rPr>
        <w:t>如有差异以</w:t>
      </w:r>
      <w:r>
        <w:rPr>
          <w:rFonts w:hint="eastAsia" w:ascii="仿宋" w:hAnsi="仿宋" w:eastAsia="仿宋" w:cs="仿宋"/>
          <w:color w:val="auto"/>
          <w:sz w:val="22"/>
          <w:szCs w:val="22"/>
          <w:highlight w:val="none"/>
        </w:rPr>
        <w:t>纸质投标文件</w:t>
      </w:r>
      <w:r>
        <w:rPr>
          <w:rFonts w:hint="eastAsia" w:ascii="仿宋" w:hAnsi="仿宋" w:eastAsia="仿宋" w:cs="仿宋"/>
          <w:b/>
          <w:bCs/>
          <w:color w:val="auto"/>
          <w:sz w:val="22"/>
          <w:szCs w:val="22"/>
          <w:highlight w:val="none"/>
        </w:rPr>
        <w:t>正本</w:t>
      </w:r>
      <w:r>
        <w:rPr>
          <w:rFonts w:hint="eastAsia" w:ascii="仿宋" w:hAnsi="仿宋" w:eastAsia="仿宋" w:cs="仿宋"/>
          <w:bCs/>
          <w:color w:val="auto"/>
          <w:sz w:val="22"/>
          <w:szCs w:val="22"/>
          <w:highlight w:val="none"/>
        </w:rPr>
        <w:t>为准</w:t>
      </w:r>
      <w:r>
        <w:rPr>
          <w:rFonts w:hint="eastAsia" w:ascii="仿宋" w:hAnsi="仿宋" w:eastAsia="仿宋" w:cs="仿宋"/>
          <w:b/>
          <w:bCs/>
          <w:color w:val="auto"/>
          <w:sz w:val="22"/>
          <w:szCs w:val="22"/>
          <w:highlight w:val="none"/>
        </w:rPr>
        <w:t>；第三部分</w:t>
      </w:r>
      <w:r>
        <w:rPr>
          <w:rFonts w:hint="eastAsia" w:ascii="仿宋" w:hAnsi="仿宋" w:eastAsia="仿宋" w:cs="仿宋"/>
          <w:color w:val="auto"/>
          <w:sz w:val="22"/>
          <w:szCs w:val="22"/>
          <w:highlight w:val="none"/>
        </w:rPr>
        <w:t>为开标时唱标用的《</w:t>
      </w:r>
      <w:r>
        <w:rPr>
          <w:rFonts w:hint="eastAsia" w:ascii="仿宋" w:hAnsi="仿宋" w:eastAsia="仿宋" w:cs="仿宋"/>
          <w:color w:val="auto"/>
          <w:sz w:val="22"/>
          <w:szCs w:val="22"/>
          <w:highlight w:val="none"/>
          <w:lang w:eastAsia="zh-CN"/>
        </w:rPr>
        <w:t>报价一览表</w:t>
      </w:r>
      <w:r>
        <w:rPr>
          <w:rFonts w:hint="eastAsia" w:ascii="仿宋" w:hAnsi="仿宋" w:eastAsia="仿宋" w:cs="仿宋"/>
          <w:color w:val="auto"/>
          <w:sz w:val="22"/>
          <w:szCs w:val="22"/>
          <w:highlight w:val="none"/>
        </w:rPr>
        <w:t>》。该表内容应与投标文件中的《</w:t>
      </w:r>
      <w:r>
        <w:rPr>
          <w:rFonts w:hint="eastAsia" w:ascii="仿宋" w:hAnsi="仿宋" w:eastAsia="仿宋" w:cs="仿宋"/>
          <w:color w:val="auto"/>
          <w:sz w:val="22"/>
          <w:szCs w:val="22"/>
          <w:highlight w:val="none"/>
          <w:lang w:eastAsia="zh-CN"/>
        </w:rPr>
        <w:t>报价一览表</w:t>
      </w:r>
      <w:r>
        <w:rPr>
          <w:rFonts w:hint="eastAsia" w:ascii="仿宋" w:hAnsi="仿宋" w:eastAsia="仿宋" w:cs="仿宋"/>
          <w:color w:val="auto"/>
          <w:sz w:val="22"/>
          <w:szCs w:val="22"/>
          <w:highlight w:val="none"/>
        </w:rPr>
        <w:t>》内容一致，如有差异以唱标用的《</w:t>
      </w:r>
      <w:r>
        <w:rPr>
          <w:rFonts w:hint="eastAsia" w:ascii="仿宋" w:hAnsi="仿宋" w:eastAsia="仿宋" w:cs="仿宋"/>
          <w:color w:val="auto"/>
          <w:sz w:val="22"/>
          <w:szCs w:val="22"/>
          <w:highlight w:val="none"/>
          <w:lang w:eastAsia="zh-CN"/>
        </w:rPr>
        <w:t>报价一览表</w:t>
      </w:r>
      <w:r>
        <w:rPr>
          <w:rFonts w:hint="eastAsia" w:ascii="仿宋" w:hAnsi="仿宋" w:eastAsia="仿宋" w:cs="仿宋"/>
          <w:color w:val="auto"/>
          <w:sz w:val="22"/>
          <w:szCs w:val="22"/>
          <w:highlight w:val="none"/>
        </w:rPr>
        <w:t xml:space="preserve">》内容为准。表格应按招标文件要求签署并加盖公章。 </w:t>
      </w:r>
    </w:p>
    <w:p w14:paraId="313F90EC">
      <w:pPr>
        <w:snapToGrid w:val="0"/>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18.2 投标文件的密封和标记</w:t>
      </w:r>
    </w:p>
    <w:p w14:paraId="582D2A0F">
      <w:pPr>
        <w:snapToGrid w:val="0"/>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18.2.1 投标人递交的投标文件应由两个单独的密封袋组成，一个密封袋装唱标用的《</w:t>
      </w:r>
      <w:r>
        <w:rPr>
          <w:rFonts w:hint="eastAsia" w:ascii="仿宋" w:hAnsi="仿宋" w:eastAsia="仿宋" w:cs="仿宋"/>
          <w:color w:val="auto"/>
          <w:sz w:val="22"/>
          <w:szCs w:val="22"/>
          <w:highlight w:val="none"/>
          <w:lang w:eastAsia="zh-CN"/>
        </w:rPr>
        <w:t>报价一览表</w:t>
      </w:r>
      <w:r>
        <w:rPr>
          <w:rFonts w:hint="eastAsia" w:ascii="仿宋" w:hAnsi="仿宋" w:eastAsia="仿宋" w:cs="仿宋"/>
          <w:color w:val="auto"/>
          <w:sz w:val="22"/>
          <w:szCs w:val="22"/>
          <w:highlight w:val="none"/>
        </w:rPr>
        <w:t>》，一个密封袋装纸质投标文件及电子投标文件。</w:t>
      </w:r>
    </w:p>
    <w:p w14:paraId="63201BEB">
      <w:pPr>
        <w:snapToGrid w:val="0"/>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18.2.2 《</w:t>
      </w:r>
      <w:r>
        <w:rPr>
          <w:rFonts w:hint="eastAsia" w:ascii="仿宋" w:hAnsi="仿宋" w:eastAsia="仿宋" w:cs="仿宋"/>
          <w:color w:val="auto"/>
          <w:sz w:val="22"/>
          <w:szCs w:val="22"/>
          <w:highlight w:val="none"/>
          <w:lang w:eastAsia="zh-CN"/>
        </w:rPr>
        <w:t>报价一览表</w:t>
      </w:r>
      <w:r>
        <w:rPr>
          <w:rFonts w:hint="eastAsia" w:ascii="仿宋" w:hAnsi="仿宋" w:eastAsia="仿宋" w:cs="仿宋"/>
          <w:color w:val="auto"/>
          <w:sz w:val="22"/>
          <w:szCs w:val="22"/>
          <w:highlight w:val="none"/>
        </w:rPr>
        <w:t>》作为开标时唱标的依据，除按格式要求放入投标文件中外，还应另行单独密封提交一份，在封口密封处加盖公章（或密封封口处粘贴封条并加盖投标单位公章），并在信封上标明“</w:t>
      </w:r>
      <w:r>
        <w:rPr>
          <w:rFonts w:hint="eastAsia" w:ascii="仿宋" w:hAnsi="仿宋" w:eastAsia="仿宋" w:cs="仿宋"/>
          <w:color w:val="auto"/>
          <w:sz w:val="22"/>
          <w:szCs w:val="22"/>
          <w:highlight w:val="none"/>
          <w:lang w:eastAsia="zh-CN"/>
        </w:rPr>
        <w:t>报价一览表</w:t>
      </w:r>
      <w:r>
        <w:rPr>
          <w:rFonts w:hint="eastAsia" w:ascii="仿宋" w:hAnsi="仿宋" w:eastAsia="仿宋" w:cs="仿宋"/>
          <w:color w:val="auto"/>
          <w:sz w:val="22"/>
          <w:szCs w:val="22"/>
          <w:highlight w:val="none"/>
        </w:rPr>
        <w:t>”字样。</w:t>
      </w:r>
    </w:p>
    <w:p w14:paraId="33564B5C">
      <w:pPr>
        <w:snapToGrid w:val="0"/>
        <w:spacing w:line="360" w:lineRule="auto"/>
        <w:ind w:firstLine="440" w:firstLineChars="200"/>
        <w:rPr>
          <w:rFonts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rPr>
        <w:t>18.2.3 投标文件正本、所有的副本和电子投标文件应统一封装在一个信封中，信封密封封口处须加盖投标单位公章（或信封密封封口处粘贴封条并加盖投标单位公章）。</w:t>
      </w:r>
    </w:p>
    <w:p w14:paraId="23DD9F09">
      <w:pPr>
        <w:snapToGrid w:val="0"/>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18.2.4 密封包上注明按“投标须知前附表”所规定的开标时间（指招标公告中规定的开标时间）前不准启封的字样。</w:t>
      </w:r>
    </w:p>
    <w:p w14:paraId="6E77D68B">
      <w:pPr>
        <w:snapToGrid w:val="0"/>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18.3 投标文件的递交</w:t>
      </w:r>
    </w:p>
    <w:p w14:paraId="550FE11C">
      <w:pPr>
        <w:snapToGrid w:val="0"/>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18.3.1 如投标文件由专人送交，投标方应将投标文件按第18.2款中的规定进行密封和标记后，按招标公告注明的地址送至</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w:t>
      </w:r>
    </w:p>
    <w:p w14:paraId="5535BA5E">
      <w:pPr>
        <w:snapToGrid w:val="0"/>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18.3.2除非招标文件专用条款另有规定的，否则邮寄、电报、电话、传真形式的投标概不接受。</w:t>
      </w:r>
    </w:p>
    <w:p w14:paraId="0240717A">
      <w:pPr>
        <w:snapToGrid w:val="0"/>
        <w:spacing w:line="360" w:lineRule="auto"/>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    18.4 投标截止时间</w:t>
      </w:r>
    </w:p>
    <w:p w14:paraId="6EE8FC91">
      <w:pPr>
        <w:snapToGrid w:val="0"/>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机构在招标公告规定的地址收到投标文件的时间不得迟于招标公告所规定的时间。</w:t>
      </w:r>
    </w:p>
    <w:p w14:paraId="5C652AAF">
      <w:pPr>
        <w:snapToGrid w:val="0"/>
        <w:spacing w:line="360" w:lineRule="auto"/>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    18.5 迟交的投标文件</w:t>
      </w:r>
    </w:p>
    <w:p w14:paraId="1B9DF1FB">
      <w:pPr>
        <w:snapToGrid w:val="0"/>
        <w:spacing w:line="360" w:lineRule="auto"/>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    按照本通用条款第18.4款规定，</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机构将拒绝并原封退回在其规定的投标截止期后收到的任何投标文件。</w:t>
      </w:r>
    </w:p>
    <w:p w14:paraId="03E068F9">
      <w:pPr>
        <w:spacing w:line="360" w:lineRule="auto"/>
        <w:rPr>
          <w:rFonts w:ascii="黑体" w:hAnsi="黑体" w:eastAsia="黑体" w:cs="黑体"/>
          <w:color w:val="auto"/>
          <w:sz w:val="24"/>
          <w:highlight w:val="none"/>
        </w:rPr>
      </w:pPr>
      <w:r>
        <w:rPr>
          <w:rFonts w:hint="eastAsia" w:ascii="黑体" w:hAnsi="黑体" w:eastAsia="黑体" w:cs="黑体"/>
          <w:color w:val="auto"/>
          <w:sz w:val="24"/>
          <w:highlight w:val="none"/>
        </w:rPr>
        <w:t>19．投标文件的修改和撤销</w:t>
      </w:r>
    </w:p>
    <w:bookmarkEnd w:id="168"/>
    <w:bookmarkEnd w:id="169"/>
    <w:bookmarkEnd w:id="170"/>
    <w:bookmarkEnd w:id="171"/>
    <w:bookmarkEnd w:id="172"/>
    <w:bookmarkEnd w:id="173"/>
    <w:bookmarkEnd w:id="174"/>
    <w:p w14:paraId="72F477AA">
      <w:pPr>
        <w:snapToGrid w:val="0"/>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19.1 投标人在递交投标文件后，可以在规定的投标截止期之前修改或撤回其投标文件，但必须书面通知</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w:t>
      </w:r>
    </w:p>
    <w:p w14:paraId="29C7CEE3">
      <w:pPr>
        <w:snapToGrid w:val="0"/>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19.2 投标人的修改或撤回通知书应参照本通用条款第18.2、18.3款规定编制、密封、标记和发送，并应在封套上加注“修改”或“撤回”字样。撤回的投标文件将原封退回投标人。</w:t>
      </w:r>
    </w:p>
    <w:p w14:paraId="3A376496">
      <w:pPr>
        <w:snapToGrid w:val="0"/>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19.3 在投标截止期之后，投标人不得对其投标文件做任何修改。</w:t>
      </w:r>
    </w:p>
    <w:p w14:paraId="3C1ED431">
      <w:pPr>
        <w:snapToGrid w:val="0"/>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19.4 在本通用条款第18.4款规定的投标截止期至本通用条款第15条规定的投标有效期期满之间的这段时间内，投标人不得撤回其投标。</w:t>
      </w:r>
    </w:p>
    <w:p w14:paraId="4B9BDE1E">
      <w:pPr>
        <w:pStyle w:val="4"/>
        <w:spacing w:line="360" w:lineRule="auto"/>
        <w:jc w:val="center"/>
        <w:rPr>
          <w:rFonts w:ascii="黑体" w:hAnsi="黑体"/>
          <w:color w:val="auto"/>
          <w:highlight w:val="none"/>
        </w:rPr>
      </w:pPr>
      <w:bookmarkStart w:id="175" w:name="_Toc8800"/>
      <w:bookmarkStart w:id="176" w:name="_Toc615"/>
      <w:bookmarkStart w:id="177" w:name="_Toc100052391"/>
      <w:bookmarkStart w:id="178" w:name="_Toc73518144"/>
      <w:bookmarkStart w:id="179" w:name="_Toc9541"/>
      <w:bookmarkStart w:id="180" w:name="_Toc20187"/>
      <w:bookmarkStart w:id="181" w:name="_Toc4898"/>
      <w:bookmarkStart w:id="182" w:name="_Toc101074881"/>
      <w:bookmarkStart w:id="183" w:name="_Toc8127"/>
      <w:bookmarkStart w:id="184" w:name="_Toc128564757"/>
      <w:bookmarkStart w:id="185" w:name="_Toc7590"/>
      <w:bookmarkStart w:id="186" w:name="_Toc18501"/>
      <w:bookmarkStart w:id="187" w:name="_Toc73517666"/>
      <w:bookmarkStart w:id="188" w:name="_Toc73521662"/>
      <w:bookmarkStart w:id="189" w:name="_Toc101432968"/>
      <w:bookmarkStart w:id="190" w:name="_Toc19161"/>
      <w:bookmarkStart w:id="191" w:name="_Toc2301"/>
      <w:bookmarkStart w:id="192" w:name="_Toc73521574"/>
      <w:bookmarkStart w:id="193" w:name="_Toc6060"/>
      <w:r>
        <w:rPr>
          <w:rFonts w:hint="eastAsia" w:ascii="黑体" w:hAnsi="黑体"/>
          <w:color w:val="auto"/>
          <w:highlight w:val="none"/>
        </w:rPr>
        <w:t>第五章  开标</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598636BE">
      <w:pPr>
        <w:spacing w:line="360" w:lineRule="auto"/>
        <w:rPr>
          <w:rFonts w:ascii="黑体" w:hAnsi="黑体" w:eastAsia="黑体" w:cs="黑体"/>
          <w:color w:val="auto"/>
          <w:sz w:val="24"/>
          <w:highlight w:val="none"/>
        </w:rPr>
      </w:pPr>
      <w:bookmarkStart w:id="194" w:name="_Toc100052392"/>
      <w:bookmarkStart w:id="195" w:name="_Toc60560655"/>
      <w:bookmarkStart w:id="196" w:name="_Toc73521663"/>
      <w:bookmarkStart w:id="197" w:name="_Toc73518145"/>
      <w:bookmarkStart w:id="198" w:name="_Toc60631650"/>
      <w:bookmarkStart w:id="199" w:name="_Toc73521575"/>
      <w:bookmarkStart w:id="200" w:name="_Toc73517667"/>
      <w:r>
        <w:rPr>
          <w:rFonts w:hint="eastAsia" w:ascii="黑体" w:hAnsi="黑体" w:eastAsia="黑体" w:cs="黑体"/>
          <w:color w:val="auto"/>
          <w:sz w:val="24"/>
          <w:highlight w:val="none"/>
        </w:rPr>
        <w:t>20．开标</w:t>
      </w:r>
      <w:bookmarkEnd w:id="194"/>
      <w:bookmarkEnd w:id="195"/>
      <w:bookmarkEnd w:id="196"/>
      <w:bookmarkEnd w:id="197"/>
      <w:bookmarkEnd w:id="198"/>
      <w:bookmarkEnd w:id="199"/>
      <w:bookmarkEnd w:id="200"/>
    </w:p>
    <w:p w14:paraId="6A239A1D">
      <w:pPr>
        <w:snapToGrid w:val="0"/>
        <w:spacing w:line="360" w:lineRule="auto"/>
        <w:ind w:firstLine="431" w:firstLineChars="196"/>
        <w:rPr>
          <w:rFonts w:ascii="仿宋" w:hAnsi="仿宋" w:eastAsia="仿宋" w:cs="仿宋"/>
          <w:color w:val="auto"/>
          <w:sz w:val="22"/>
          <w:szCs w:val="22"/>
          <w:highlight w:val="none"/>
        </w:rPr>
      </w:pPr>
      <w:bookmarkStart w:id="201" w:name="bt评标"/>
      <w:bookmarkEnd w:id="201"/>
      <w:bookmarkStart w:id="202" w:name="_Toc73521664"/>
      <w:bookmarkStart w:id="203" w:name="_Toc73518146"/>
      <w:bookmarkStart w:id="204" w:name="_Toc73517668"/>
      <w:bookmarkStart w:id="205" w:name="_Toc73521576"/>
      <w:bookmarkStart w:id="206" w:name="_Toc100052393"/>
      <w:bookmarkStart w:id="207" w:name="_Toc101074882"/>
      <w:r>
        <w:rPr>
          <w:rFonts w:hint="eastAsia" w:ascii="仿宋" w:hAnsi="仿宋" w:eastAsia="仿宋" w:cs="仿宋"/>
          <w:color w:val="auto"/>
          <w:sz w:val="22"/>
          <w:szCs w:val="22"/>
          <w:highlight w:val="none"/>
        </w:rPr>
        <w:t xml:space="preserve">20.1 </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机构将按“招标公告”规定的时间和地点组织公开开标。投标人应委派代表参加，参加开标的代表应签名报到以证明出席。</w:t>
      </w:r>
    </w:p>
    <w:p w14:paraId="20A5201A">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20.2 开标时，</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机构将当众宣读投标人名称、修改和撤回投标的通知、</w:t>
      </w:r>
      <w:r>
        <w:rPr>
          <w:rFonts w:hint="eastAsia" w:ascii="仿宋" w:hAnsi="仿宋" w:eastAsia="仿宋" w:cs="仿宋"/>
          <w:color w:val="auto"/>
          <w:sz w:val="22"/>
          <w:szCs w:val="22"/>
          <w:highlight w:val="none"/>
          <w:lang w:eastAsia="zh-CN"/>
        </w:rPr>
        <w:t>报价一览表</w:t>
      </w:r>
      <w:r>
        <w:rPr>
          <w:rFonts w:hint="eastAsia" w:ascii="仿宋" w:hAnsi="仿宋" w:eastAsia="仿宋" w:cs="仿宋"/>
          <w:color w:val="auto"/>
          <w:sz w:val="22"/>
          <w:szCs w:val="22"/>
          <w:highlight w:val="none"/>
        </w:rPr>
        <w:t>（以招标文件规定的</w:t>
      </w:r>
      <w:r>
        <w:rPr>
          <w:rFonts w:hint="eastAsia" w:ascii="仿宋" w:hAnsi="仿宋" w:eastAsia="仿宋" w:cs="仿宋"/>
          <w:color w:val="auto"/>
          <w:sz w:val="22"/>
          <w:szCs w:val="22"/>
          <w:highlight w:val="none"/>
          <w:lang w:eastAsia="zh-CN"/>
        </w:rPr>
        <w:t>报价一览表</w:t>
      </w:r>
      <w:r>
        <w:rPr>
          <w:rFonts w:hint="eastAsia" w:ascii="仿宋" w:hAnsi="仿宋" w:eastAsia="仿宋" w:cs="仿宋"/>
          <w:color w:val="auto"/>
          <w:sz w:val="22"/>
          <w:szCs w:val="22"/>
          <w:highlight w:val="none"/>
        </w:rPr>
        <w:t>内容为准）。投标文件中</w:t>
      </w:r>
      <w:r>
        <w:rPr>
          <w:rFonts w:hint="eastAsia" w:ascii="仿宋" w:hAnsi="仿宋" w:eastAsia="仿宋" w:cs="仿宋"/>
          <w:color w:val="auto"/>
          <w:sz w:val="22"/>
          <w:szCs w:val="22"/>
          <w:highlight w:val="none"/>
          <w:lang w:eastAsia="zh-CN"/>
        </w:rPr>
        <w:t>报价一览表</w:t>
      </w:r>
      <w:r>
        <w:rPr>
          <w:rFonts w:hint="eastAsia" w:ascii="仿宋" w:hAnsi="仿宋" w:eastAsia="仿宋" w:cs="仿宋"/>
          <w:color w:val="auto"/>
          <w:sz w:val="22"/>
          <w:szCs w:val="22"/>
          <w:highlight w:val="none"/>
        </w:rPr>
        <w:t>内容与投标报价明细表内容不一致的，以</w:t>
      </w:r>
      <w:r>
        <w:rPr>
          <w:rFonts w:hint="eastAsia" w:ascii="仿宋" w:hAnsi="仿宋" w:eastAsia="仿宋" w:cs="仿宋"/>
          <w:color w:val="auto"/>
          <w:sz w:val="22"/>
          <w:szCs w:val="22"/>
          <w:highlight w:val="none"/>
          <w:lang w:eastAsia="zh-CN"/>
        </w:rPr>
        <w:t>报价一览表</w:t>
      </w:r>
      <w:r>
        <w:rPr>
          <w:rFonts w:hint="eastAsia" w:ascii="仿宋" w:hAnsi="仿宋" w:eastAsia="仿宋" w:cs="仿宋"/>
          <w:color w:val="auto"/>
          <w:sz w:val="22"/>
          <w:szCs w:val="22"/>
          <w:highlight w:val="none"/>
        </w:rPr>
        <w:t>为准。</w:t>
      </w:r>
    </w:p>
    <w:p w14:paraId="0E3B0999">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除了按照本通用条款第18条规定原封退回的投标之外，开标时将不得拒绝任何投标文件。</w:t>
      </w:r>
    </w:p>
    <w:p w14:paraId="4BD546ED">
      <w:pPr>
        <w:snapToGrid w:val="0"/>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20.3 按照本通用条款第19条规定，提交了可接受的“撤回”通知的投标将不予开封。</w:t>
      </w:r>
    </w:p>
    <w:p w14:paraId="3BBDA420">
      <w:pPr>
        <w:snapToGrid w:val="0"/>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20.4 无论如何在开标时没有启封和读出的投标文件在评标时将不予考虑。撤回的投标文件将原封退回投标人。</w:t>
      </w:r>
    </w:p>
    <w:p w14:paraId="73DE9C7B">
      <w:pPr>
        <w:snapToGrid w:val="0"/>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20.5 </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机构将做开标记录，开标记录包括按本通用条款第20.2款的规定在开标时宣读的全部内容。</w:t>
      </w:r>
    </w:p>
    <w:p w14:paraId="488539D0">
      <w:pPr>
        <w:snapToGrid w:val="0"/>
        <w:spacing w:line="360" w:lineRule="auto"/>
        <w:ind w:firstLine="440" w:firstLineChars="200"/>
        <w:rPr>
          <w:rFonts w:ascii="仿宋" w:hAnsi="仿宋" w:eastAsia="仿宋" w:cs="仿宋"/>
          <w:color w:val="auto"/>
          <w:sz w:val="22"/>
          <w:szCs w:val="22"/>
          <w:highlight w:val="none"/>
        </w:rPr>
      </w:pPr>
    </w:p>
    <w:p w14:paraId="6AABB221">
      <w:pPr>
        <w:pStyle w:val="4"/>
        <w:spacing w:line="360" w:lineRule="auto"/>
        <w:jc w:val="center"/>
        <w:rPr>
          <w:rFonts w:ascii="黑体" w:hAnsi="黑体"/>
          <w:color w:val="auto"/>
          <w:highlight w:val="none"/>
        </w:rPr>
      </w:pPr>
      <w:bookmarkStart w:id="208" w:name="_Toc11385"/>
      <w:bookmarkStart w:id="209" w:name="_Toc2989"/>
      <w:bookmarkStart w:id="210" w:name="_Toc18429"/>
      <w:bookmarkStart w:id="211" w:name="_Toc24789"/>
      <w:bookmarkStart w:id="212" w:name="_Toc7870"/>
      <w:bookmarkStart w:id="213" w:name="_Toc21948"/>
      <w:bookmarkStart w:id="214" w:name="_Toc101432969"/>
      <w:bookmarkStart w:id="215" w:name="_Toc30394"/>
      <w:bookmarkStart w:id="216" w:name="_Toc128564758"/>
      <w:bookmarkStart w:id="217" w:name="_Toc7338"/>
      <w:bookmarkStart w:id="218" w:name="_Toc6990"/>
      <w:bookmarkStart w:id="219" w:name="_Toc3993"/>
      <w:bookmarkStart w:id="220" w:name="_Toc13311"/>
      <w:r>
        <w:rPr>
          <w:rFonts w:hint="eastAsia" w:ascii="黑体" w:hAnsi="黑体"/>
          <w:color w:val="auto"/>
          <w:highlight w:val="none"/>
        </w:rPr>
        <w:t>第六章</w:t>
      </w:r>
      <w:bookmarkEnd w:id="202"/>
      <w:bookmarkEnd w:id="203"/>
      <w:bookmarkEnd w:id="204"/>
      <w:bookmarkEnd w:id="205"/>
      <w:r>
        <w:rPr>
          <w:rFonts w:hint="eastAsia" w:ascii="黑体" w:hAnsi="黑体"/>
          <w:color w:val="auto"/>
          <w:highlight w:val="none"/>
        </w:rPr>
        <w:t xml:space="preserve">  评标</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6DB647F5">
      <w:pPr>
        <w:spacing w:line="360" w:lineRule="auto"/>
        <w:rPr>
          <w:rFonts w:ascii="黑体" w:hAnsi="黑体" w:eastAsia="黑体" w:cs="黑体"/>
          <w:color w:val="auto"/>
          <w:sz w:val="24"/>
          <w:highlight w:val="none"/>
        </w:rPr>
      </w:pPr>
      <w:bookmarkStart w:id="221" w:name="bt评标会议"/>
      <w:bookmarkEnd w:id="221"/>
      <w:bookmarkStart w:id="222" w:name="_Toc73517669"/>
      <w:bookmarkStart w:id="223" w:name="_Toc73521577"/>
      <w:bookmarkStart w:id="224" w:name="_Toc73518147"/>
      <w:bookmarkStart w:id="225" w:name="_Toc73521665"/>
      <w:bookmarkStart w:id="226" w:name="_Toc100052394"/>
      <w:r>
        <w:rPr>
          <w:rFonts w:hint="eastAsia" w:ascii="黑体" w:hAnsi="黑体" w:eastAsia="黑体" w:cs="黑体"/>
          <w:color w:val="auto"/>
          <w:sz w:val="24"/>
          <w:highlight w:val="none"/>
        </w:rPr>
        <w:t>21．评审会议</w:t>
      </w:r>
    </w:p>
    <w:p w14:paraId="48F2962D">
      <w:pPr>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21.1 开标会结束后召开评审会议，由评审委员会负责对投标文件进行评审并根据</w:t>
      </w:r>
      <w:r>
        <w:rPr>
          <w:rFonts w:hint="eastAsia" w:ascii="仿宋" w:hAnsi="仿宋" w:eastAsia="仿宋" w:cs="仿宋"/>
          <w:color w:val="auto"/>
          <w:sz w:val="22"/>
          <w:szCs w:val="22"/>
          <w:highlight w:val="none"/>
          <w:lang w:eastAsia="zh-CN"/>
        </w:rPr>
        <w:t>招标人</w:t>
      </w:r>
      <w:r>
        <w:rPr>
          <w:rFonts w:hint="eastAsia" w:ascii="仿宋" w:hAnsi="仿宋" w:eastAsia="仿宋" w:cs="仿宋"/>
          <w:color w:val="auto"/>
          <w:sz w:val="22"/>
          <w:szCs w:val="22"/>
          <w:highlight w:val="none"/>
        </w:rPr>
        <w:t>的授权确定中标</w:t>
      </w:r>
      <w:r>
        <w:rPr>
          <w:rFonts w:hint="eastAsia" w:ascii="仿宋" w:hAnsi="仿宋" w:eastAsia="仿宋" w:cs="仿宋"/>
          <w:color w:val="auto"/>
          <w:sz w:val="22"/>
          <w:szCs w:val="22"/>
          <w:highlight w:val="none"/>
          <w:lang w:eastAsia="zh-CN"/>
        </w:rPr>
        <w:t>人</w:t>
      </w:r>
      <w:r>
        <w:rPr>
          <w:rFonts w:hint="eastAsia" w:ascii="仿宋" w:hAnsi="仿宋" w:eastAsia="仿宋" w:cs="仿宋"/>
          <w:color w:val="auto"/>
          <w:sz w:val="22"/>
          <w:szCs w:val="22"/>
          <w:highlight w:val="none"/>
        </w:rPr>
        <w:t>和出具书面评审报告。</w:t>
      </w:r>
    </w:p>
    <w:p w14:paraId="445D3BA9">
      <w:pPr>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21.2 评审委员会由评审专家组成，人数为五人或以上单数，评审专家由</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机构通过随机方式从深圳市采购专家库中选取。</w:t>
      </w:r>
      <w:r>
        <w:rPr>
          <w:rFonts w:hint="eastAsia" w:ascii="仿宋" w:hAnsi="仿宋" w:eastAsia="仿宋" w:cs="仿宋"/>
          <w:color w:val="auto"/>
          <w:sz w:val="22"/>
          <w:szCs w:val="22"/>
          <w:highlight w:val="none"/>
          <w:lang w:eastAsia="zh-CN"/>
        </w:rPr>
        <w:t>招标人</w:t>
      </w:r>
      <w:r>
        <w:rPr>
          <w:rFonts w:hint="eastAsia" w:ascii="仿宋" w:hAnsi="仿宋" w:eastAsia="仿宋" w:cs="仿宋"/>
          <w:color w:val="auto"/>
          <w:sz w:val="22"/>
          <w:szCs w:val="22"/>
          <w:highlight w:val="none"/>
        </w:rPr>
        <w:t>可以派代表参加评审委员会，但</w:t>
      </w:r>
      <w:r>
        <w:rPr>
          <w:rFonts w:hint="eastAsia" w:ascii="仿宋" w:hAnsi="仿宋" w:eastAsia="仿宋" w:cs="仿宋"/>
          <w:color w:val="auto"/>
          <w:sz w:val="22"/>
          <w:szCs w:val="22"/>
          <w:highlight w:val="none"/>
          <w:lang w:eastAsia="zh-CN"/>
        </w:rPr>
        <w:t>招标人</w:t>
      </w:r>
      <w:r>
        <w:rPr>
          <w:rFonts w:hint="eastAsia" w:ascii="仿宋" w:hAnsi="仿宋" w:eastAsia="仿宋" w:cs="仿宋"/>
          <w:color w:val="auto"/>
          <w:sz w:val="22"/>
          <w:szCs w:val="22"/>
          <w:highlight w:val="none"/>
        </w:rPr>
        <w:t>代表在评审委员会中所占比例不得超过三分之一。评审委员会成员应当严格遵守评标规则，按照法律、法规规定的评审办法和评审标准，公正地进行评审和履行职责。</w:t>
      </w:r>
    </w:p>
    <w:p w14:paraId="5A2DD8CC">
      <w:pPr>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21.3 </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机构在投标截止日前组成评审委员会。</w:t>
      </w:r>
      <w:r>
        <w:rPr>
          <w:rFonts w:hint="eastAsia" w:ascii="仿宋" w:hAnsi="仿宋" w:eastAsia="仿宋" w:cs="仿宋"/>
          <w:color w:val="auto"/>
          <w:sz w:val="22"/>
          <w:szCs w:val="22"/>
          <w:highlight w:val="none"/>
          <w:lang w:eastAsia="zh-CN"/>
        </w:rPr>
        <w:t>招标人</w:t>
      </w:r>
      <w:r>
        <w:rPr>
          <w:rFonts w:hint="eastAsia" w:ascii="仿宋" w:hAnsi="仿宋" w:eastAsia="仿宋" w:cs="仿宋"/>
          <w:color w:val="auto"/>
          <w:sz w:val="22"/>
          <w:szCs w:val="22"/>
          <w:highlight w:val="none"/>
        </w:rPr>
        <w:t>派代表参加评审委员会的，应在投标截止日前一日提交本单位签发的《评标授权书》给</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w:t>
      </w:r>
      <w:r>
        <w:rPr>
          <w:rFonts w:hint="eastAsia" w:ascii="仿宋" w:hAnsi="仿宋" w:eastAsia="仿宋" w:cs="仿宋"/>
          <w:color w:val="auto"/>
          <w:sz w:val="22"/>
          <w:szCs w:val="22"/>
          <w:highlight w:val="none"/>
          <w:lang w:eastAsia="zh-CN"/>
        </w:rPr>
        <w:t>招标人</w:t>
      </w:r>
      <w:r>
        <w:rPr>
          <w:rFonts w:hint="eastAsia" w:ascii="仿宋" w:hAnsi="仿宋" w:eastAsia="仿宋" w:cs="仿宋"/>
          <w:color w:val="auto"/>
          <w:sz w:val="22"/>
          <w:szCs w:val="22"/>
          <w:highlight w:val="none"/>
        </w:rPr>
        <w:t>不派代表参加评审委员会的，应在投标截止日前一日提交《</w:t>
      </w:r>
      <w:r>
        <w:rPr>
          <w:rFonts w:hint="eastAsia" w:ascii="仿宋" w:hAnsi="仿宋" w:eastAsia="仿宋" w:cs="仿宋"/>
          <w:color w:val="auto"/>
          <w:sz w:val="22"/>
          <w:szCs w:val="22"/>
          <w:highlight w:val="none"/>
          <w:lang w:eastAsia="zh-CN"/>
        </w:rPr>
        <w:t>招标</w:t>
      </w:r>
      <w:r>
        <w:rPr>
          <w:rFonts w:hint="eastAsia" w:ascii="仿宋" w:hAnsi="仿宋" w:eastAsia="仿宋" w:cs="仿宋"/>
          <w:color w:val="auto"/>
          <w:sz w:val="22"/>
          <w:szCs w:val="22"/>
          <w:highlight w:val="none"/>
        </w:rPr>
        <w:t>单位不派评委参与项目评标承诺书》给</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w:t>
      </w:r>
    </w:p>
    <w:p w14:paraId="2085533E">
      <w:pPr>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21.4 评标、定标应当遵循公平、公正、科学、择优的原则。</w:t>
      </w:r>
    </w:p>
    <w:p w14:paraId="4E15B9F6">
      <w:pPr>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21.5 评审活动依法进行，任何单位和个人不得非法干预评审过程和结果。</w:t>
      </w:r>
    </w:p>
    <w:p w14:paraId="3A4B8E1D">
      <w:pPr>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21.6 评审过程中不允许违背评审程序或采用招标文件未载明的评标方法或评审因素进行评标。</w:t>
      </w:r>
    </w:p>
    <w:p w14:paraId="38B04E53">
      <w:pPr>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21.7 开标后，直到授予中标</w:t>
      </w:r>
      <w:r>
        <w:rPr>
          <w:rFonts w:hint="eastAsia" w:ascii="仿宋" w:hAnsi="仿宋" w:eastAsia="仿宋" w:cs="仿宋"/>
          <w:color w:val="auto"/>
          <w:sz w:val="22"/>
          <w:szCs w:val="22"/>
          <w:highlight w:val="none"/>
          <w:lang w:eastAsia="zh-CN"/>
        </w:rPr>
        <w:t>人</w:t>
      </w:r>
      <w:r>
        <w:rPr>
          <w:rFonts w:hint="eastAsia" w:ascii="仿宋" w:hAnsi="仿宋" w:eastAsia="仿宋" w:cs="仿宋"/>
          <w:color w:val="auto"/>
          <w:sz w:val="22"/>
          <w:szCs w:val="22"/>
          <w:highlight w:val="none"/>
        </w:rPr>
        <w:t>合同为止，凡属于对投标文件的审查、澄清、评价和比较的有关资料以及中标</w:t>
      </w:r>
      <w:r>
        <w:rPr>
          <w:rFonts w:hint="eastAsia" w:ascii="仿宋" w:hAnsi="仿宋" w:eastAsia="仿宋" w:cs="仿宋"/>
          <w:color w:val="auto"/>
          <w:sz w:val="22"/>
          <w:szCs w:val="22"/>
          <w:highlight w:val="none"/>
          <w:lang w:eastAsia="zh-CN"/>
        </w:rPr>
        <w:t>人</w:t>
      </w:r>
      <w:r>
        <w:rPr>
          <w:rFonts w:hint="eastAsia" w:ascii="仿宋" w:hAnsi="仿宋" w:eastAsia="仿宋" w:cs="仿宋"/>
          <w:color w:val="auto"/>
          <w:sz w:val="22"/>
          <w:szCs w:val="22"/>
          <w:highlight w:val="none"/>
        </w:rPr>
        <w:t>的确定情况、与评标、定标有关的其他任何情况均严格保密。</w:t>
      </w:r>
    </w:p>
    <w:p w14:paraId="4ED5D88B">
      <w:pPr>
        <w:spacing w:line="360" w:lineRule="auto"/>
        <w:rPr>
          <w:rFonts w:ascii="黑体" w:hAnsi="黑体" w:eastAsia="黑体" w:cs="黑体"/>
          <w:color w:val="auto"/>
          <w:sz w:val="24"/>
          <w:highlight w:val="none"/>
        </w:rPr>
      </w:pPr>
      <w:r>
        <w:rPr>
          <w:rFonts w:hint="eastAsia" w:ascii="黑体" w:hAnsi="黑体" w:eastAsia="黑体" w:cs="黑体"/>
          <w:color w:val="auto"/>
          <w:sz w:val="24"/>
          <w:highlight w:val="none"/>
        </w:rPr>
        <w:t>22．向评审委员会提供的资料</w:t>
      </w:r>
    </w:p>
    <w:p w14:paraId="2BAEE1F0">
      <w:pPr>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22.1 公开发布的招标文件，包括图纸、服务清单、答疑文件等。</w:t>
      </w:r>
    </w:p>
    <w:p w14:paraId="791A12D9">
      <w:pPr>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22.2 其他评标必须的资料。</w:t>
      </w:r>
    </w:p>
    <w:p w14:paraId="5C798169">
      <w:pPr>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22.3 评审委员会应当认真研究招标文件，至少应了解熟悉以下内容：</w:t>
      </w:r>
    </w:p>
    <w:p w14:paraId="38AB83A6">
      <w:pPr>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（1）招标的目的；</w:t>
      </w:r>
    </w:p>
    <w:p w14:paraId="3DEE9121">
      <w:pPr>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（2）招标项目需求的范围和性质；</w:t>
      </w:r>
    </w:p>
    <w:p w14:paraId="27C4B448">
      <w:pPr>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（3）招标文件规定的投标人的资质、预算限额、商务条款；</w:t>
      </w:r>
    </w:p>
    <w:p w14:paraId="43521AC4">
      <w:pPr>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（4）招标文件规定的评审程序、评标方法和评审因素；</w:t>
      </w:r>
    </w:p>
    <w:p w14:paraId="2F5FEE39">
      <w:pPr>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（5）招标文件所列示的废标条件；</w:t>
      </w:r>
    </w:p>
    <w:p w14:paraId="6D41561A">
      <w:pPr>
        <w:spacing w:line="360" w:lineRule="auto"/>
        <w:rPr>
          <w:rFonts w:ascii="黑体" w:hAnsi="黑体" w:eastAsia="黑体" w:cs="黑体"/>
          <w:color w:val="auto"/>
          <w:sz w:val="24"/>
          <w:highlight w:val="none"/>
        </w:rPr>
      </w:pPr>
      <w:r>
        <w:rPr>
          <w:rFonts w:hint="eastAsia" w:ascii="黑体" w:hAnsi="黑体" w:eastAsia="黑体" w:cs="黑体"/>
          <w:color w:val="auto"/>
          <w:sz w:val="24"/>
          <w:highlight w:val="none"/>
        </w:rPr>
        <w:t>23．独立评审</w:t>
      </w:r>
    </w:p>
    <w:p w14:paraId="335C3D16">
      <w:pPr>
        <w:snapToGrid w:val="0"/>
        <w:spacing w:line="360" w:lineRule="auto"/>
        <w:ind w:firstLine="440" w:firstLineChars="200"/>
        <w:rPr>
          <w:rFonts w:ascii="仿宋" w:hAnsi="仿宋" w:eastAsia="仿宋" w:cs="仿宋"/>
          <w:bCs/>
          <w:color w:val="auto"/>
          <w:sz w:val="22"/>
          <w:szCs w:val="28"/>
          <w:highlight w:val="none"/>
        </w:rPr>
      </w:pPr>
      <w:r>
        <w:rPr>
          <w:rFonts w:hint="eastAsia" w:ascii="仿宋" w:hAnsi="仿宋" w:eastAsia="仿宋" w:cs="仿宋"/>
          <w:color w:val="auto"/>
          <w:sz w:val="22"/>
          <w:szCs w:val="22"/>
          <w:highlight w:val="none"/>
        </w:rPr>
        <w:t>23.1 评审委员会成员的评审活动应当独立进行，并应遵循投标文件初审、澄清有关问题、比较与评价、确定中标</w:t>
      </w:r>
      <w:r>
        <w:rPr>
          <w:rFonts w:hint="eastAsia" w:ascii="仿宋" w:hAnsi="仿宋" w:eastAsia="仿宋" w:cs="仿宋"/>
          <w:color w:val="auto"/>
          <w:sz w:val="22"/>
          <w:szCs w:val="22"/>
          <w:highlight w:val="none"/>
          <w:lang w:eastAsia="zh-CN"/>
        </w:rPr>
        <w:t>人</w:t>
      </w:r>
      <w:r>
        <w:rPr>
          <w:rFonts w:hint="eastAsia" w:ascii="仿宋" w:hAnsi="仿宋" w:eastAsia="仿宋" w:cs="仿宋"/>
          <w:color w:val="auto"/>
          <w:sz w:val="22"/>
          <w:szCs w:val="22"/>
          <w:highlight w:val="none"/>
        </w:rPr>
        <w:t>、编写评审报告的工作程序</w:t>
      </w:r>
      <w:r>
        <w:rPr>
          <w:rFonts w:hint="eastAsia" w:ascii="仿宋" w:hAnsi="仿宋" w:eastAsia="仿宋" w:cs="仿宋"/>
          <w:bCs/>
          <w:color w:val="auto"/>
          <w:sz w:val="22"/>
          <w:szCs w:val="28"/>
          <w:highlight w:val="none"/>
        </w:rPr>
        <w:t>。</w:t>
      </w:r>
      <w:bookmarkEnd w:id="222"/>
      <w:bookmarkEnd w:id="223"/>
      <w:bookmarkEnd w:id="224"/>
      <w:bookmarkEnd w:id="225"/>
      <w:bookmarkEnd w:id="226"/>
      <w:bookmarkStart w:id="227" w:name="bt错误的修正"/>
      <w:bookmarkEnd w:id="227"/>
      <w:bookmarkStart w:id="228" w:name="bt评标过程的保密"/>
      <w:bookmarkEnd w:id="228"/>
    </w:p>
    <w:p w14:paraId="76633886">
      <w:pPr>
        <w:snapToGrid w:val="0"/>
        <w:spacing w:line="360" w:lineRule="auto"/>
        <w:ind w:firstLine="440" w:firstLineChars="200"/>
        <w:rPr>
          <w:rFonts w:ascii="仿宋" w:hAnsi="仿宋" w:eastAsia="仿宋" w:cs="仿宋"/>
          <w:bCs/>
          <w:color w:val="auto"/>
          <w:sz w:val="22"/>
          <w:szCs w:val="22"/>
          <w:highlight w:val="none"/>
        </w:rPr>
      </w:pPr>
    </w:p>
    <w:p w14:paraId="5C33D36D">
      <w:pPr>
        <w:pStyle w:val="4"/>
        <w:spacing w:line="360" w:lineRule="auto"/>
        <w:jc w:val="center"/>
        <w:rPr>
          <w:rFonts w:ascii="黑体" w:hAnsi="黑体"/>
          <w:color w:val="auto"/>
          <w:highlight w:val="none"/>
        </w:rPr>
      </w:pPr>
      <w:bookmarkStart w:id="229" w:name="_Toc28270"/>
      <w:bookmarkStart w:id="230" w:name="_Toc12686"/>
      <w:bookmarkStart w:id="231" w:name="_Toc17313"/>
      <w:bookmarkStart w:id="232" w:name="_Toc15378"/>
      <w:bookmarkStart w:id="233" w:name="_Toc100052397"/>
      <w:bookmarkStart w:id="234" w:name="_Toc128564759"/>
      <w:bookmarkStart w:id="235" w:name="_Toc101432970"/>
      <w:bookmarkStart w:id="236" w:name="_Toc16556"/>
      <w:bookmarkStart w:id="237" w:name="_Toc19535"/>
      <w:bookmarkStart w:id="238" w:name="_Toc101074883"/>
      <w:bookmarkStart w:id="239" w:name="_Toc27846"/>
      <w:bookmarkStart w:id="240" w:name="_Toc15147"/>
      <w:bookmarkStart w:id="241" w:name="_Toc25668"/>
      <w:bookmarkStart w:id="242" w:name="_Toc5355"/>
      <w:bookmarkStart w:id="243" w:name="_Toc28606"/>
      <w:r>
        <w:rPr>
          <w:rFonts w:hint="eastAsia" w:ascii="黑体" w:hAnsi="黑体"/>
          <w:color w:val="auto"/>
          <w:highlight w:val="none"/>
        </w:rPr>
        <w:t>第七章  评审程序</w:t>
      </w:r>
      <w:bookmarkStart w:id="244" w:name="bt投标文件的审查"/>
      <w:bookmarkEnd w:id="244"/>
      <w:bookmarkStart w:id="245" w:name="_Toc73518149"/>
      <w:bookmarkStart w:id="246" w:name="_Toc73521667"/>
      <w:bookmarkStart w:id="247" w:name="_Toc73517671"/>
      <w:bookmarkStart w:id="248" w:name="_Toc73521579"/>
      <w:r>
        <w:rPr>
          <w:rFonts w:hint="eastAsia" w:ascii="黑体" w:hAnsi="黑体"/>
          <w:color w:val="auto"/>
          <w:highlight w:val="none"/>
        </w:rPr>
        <w:t>及评标方法</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4BFBE8B5">
      <w:pPr>
        <w:spacing w:line="360" w:lineRule="auto"/>
        <w:rPr>
          <w:rFonts w:ascii="黑体" w:hAnsi="黑体" w:eastAsia="黑体" w:cs="黑体"/>
          <w:color w:val="auto"/>
          <w:sz w:val="24"/>
          <w:highlight w:val="none"/>
        </w:rPr>
      </w:pPr>
      <w:bookmarkStart w:id="249" w:name="_Toc100052398"/>
      <w:r>
        <w:rPr>
          <w:rFonts w:hint="eastAsia" w:ascii="黑体" w:hAnsi="黑体" w:eastAsia="黑体" w:cs="黑体"/>
          <w:color w:val="auto"/>
          <w:sz w:val="24"/>
          <w:highlight w:val="none"/>
        </w:rPr>
        <w:t>24．投标文件初审</w:t>
      </w:r>
      <w:bookmarkEnd w:id="249"/>
    </w:p>
    <w:p w14:paraId="02660968">
      <w:pPr>
        <w:snapToGrid w:val="0"/>
        <w:spacing w:line="360" w:lineRule="auto"/>
        <w:ind w:firstLine="431" w:firstLineChars="196"/>
        <w:rPr>
          <w:rFonts w:ascii="仿宋" w:hAnsi="仿宋" w:eastAsia="仿宋" w:cs="仿宋"/>
          <w:color w:val="auto"/>
          <w:sz w:val="22"/>
          <w:szCs w:val="28"/>
          <w:highlight w:val="none"/>
        </w:rPr>
      </w:pPr>
      <w:r>
        <w:rPr>
          <w:rFonts w:hint="eastAsia" w:ascii="仿宋" w:hAnsi="仿宋" w:eastAsia="仿宋" w:cs="仿宋"/>
          <w:color w:val="auto"/>
          <w:sz w:val="22"/>
          <w:szCs w:val="28"/>
          <w:highlight w:val="none"/>
        </w:rPr>
        <w:t>24.1 投标文件初审包括资格性检查和符合性检查。资格性检查：依据法律法规和招标文件的规定，对投标文件中的资格证明等进行审查，以确定投标</w:t>
      </w:r>
      <w:r>
        <w:rPr>
          <w:rFonts w:hint="eastAsia" w:ascii="仿宋" w:hAnsi="仿宋" w:eastAsia="仿宋" w:cs="仿宋"/>
          <w:color w:val="auto"/>
          <w:sz w:val="22"/>
          <w:szCs w:val="28"/>
          <w:highlight w:val="none"/>
          <w:lang w:eastAsia="zh-CN"/>
        </w:rPr>
        <w:t>人</w:t>
      </w:r>
      <w:r>
        <w:rPr>
          <w:rFonts w:hint="eastAsia" w:ascii="仿宋" w:hAnsi="仿宋" w:eastAsia="仿宋" w:cs="仿宋"/>
          <w:color w:val="auto"/>
          <w:sz w:val="22"/>
          <w:szCs w:val="28"/>
          <w:highlight w:val="none"/>
        </w:rPr>
        <w:t>是否具备投标资格。符合性检查：依据招标文件的规定，从投标文件的有效性、完整性和对招标文件的响应程度进行审查，以确定是否对招标文件的实质性要求作出响应。</w:t>
      </w:r>
    </w:p>
    <w:p w14:paraId="2A272974">
      <w:pPr>
        <w:snapToGrid w:val="0"/>
        <w:spacing w:line="360" w:lineRule="auto"/>
        <w:ind w:firstLine="431" w:firstLineChars="196"/>
        <w:rPr>
          <w:rFonts w:ascii="仿宋" w:hAnsi="仿宋" w:eastAsia="仿宋" w:cs="仿宋"/>
          <w:color w:val="auto"/>
          <w:sz w:val="22"/>
          <w:szCs w:val="28"/>
          <w:highlight w:val="none"/>
        </w:rPr>
      </w:pPr>
      <w:r>
        <w:rPr>
          <w:rFonts w:hint="eastAsia" w:ascii="仿宋" w:hAnsi="仿宋" w:eastAsia="仿宋" w:cs="仿宋"/>
          <w:color w:val="auto"/>
          <w:sz w:val="22"/>
          <w:szCs w:val="28"/>
          <w:highlight w:val="none"/>
        </w:rPr>
        <w:t>24.2 投标文件初审内容请详见招标文件第二册第二章《投标文件初审表》部分。投标人若有一条审查不通过则按废标处理。</w:t>
      </w:r>
    </w:p>
    <w:p w14:paraId="187E56D3">
      <w:pPr>
        <w:snapToGrid w:val="0"/>
        <w:spacing w:line="360" w:lineRule="auto"/>
        <w:ind w:firstLine="431" w:firstLineChars="196"/>
        <w:rPr>
          <w:rFonts w:ascii="仿宋" w:hAnsi="仿宋" w:eastAsia="仿宋" w:cs="仿宋"/>
          <w:b/>
          <w:bCs/>
          <w:color w:val="auto"/>
          <w:sz w:val="22"/>
          <w:szCs w:val="22"/>
          <w:highlight w:val="none"/>
        </w:rPr>
      </w:pPr>
      <w:r>
        <w:rPr>
          <w:rFonts w:hint="eastAsia" w:ascii="仿宋" w:hAnsi="仿宋" w:eastAsia="仿宋" w:cs="仿宋"/>
          <w:color w:val="auto"/>
          <w:sz w:val="22"/>
          <w:szCs w:val="28"/>
          <w:highlight w:val="none"/>
        </w:rPr>
        <w:t>24.3 对不属于投标文件初审表所列的其他情形，除法律法规另有规定外，不得作为废标的理由。</w:t>
      </w:r>
      <w:bookmarkEnd w:id="245"/>
      <w:bookmarkEnd w:id="246"/>
      <w:bookmarkEnd w:id="247"/>
      <w:bookmarkEnd w:id="248"/>
    </w:p>
    <w:p w14:paraId="0C1C1971">
      <w:pPr>
        <w:spacing w:line="360" w:lineRule="auto"/>
        <w:rPr>
          <w:rFonts w:ascii="黑体" w:hAnsi="黑体" w:eastAsia="黑体" w:cs="黑体"/>
          <w:color w:val="auto"/>
          <w:sz w:val="24"/>
          <w:highlight w:val="none"/>
        </w:rPr>
      </w:pPr>
      <w:bookmarkStart w:id="250" w:name="_Toc100052399"/>
      <w:r>
        <w:rPr>
          <w:rFonts w:hint="eastAsia" w:ascii="黑体" w:hAnsi="黑体" w:eastAsia="黑体" w:cs="黑体"/>
          <w:color w:val="auto"/>
          <w:sz w:val="24"/>
          <w:highlight w:val="none"/>
        </w:rPr>
        <w:t>25．澄清有关问题</w:t>
      </w:r>
      <w:bookmarkEnd w:id="250"/>
    </w:p>
    <w:p w14:paraId="6243E956">
      <w:pPr>
        <w:snapToGrid w:val="0"/>
        <w:spacing w:line="360" w:lineRule="auto"/>
        <w:ind w:firstLine="431" w:firstLineChars="196"/>
        <w:rPr>
          <w:rFonts w:ascii="仿宋" w:hAnsi="仿宋" w:eastAsia="仿宋" w:cs="仿宋"/>
          <w:color w:val="auto"/>
          <w:sz w:val="22"/>
          <w:szCs w:val="22"/>
          <w:highlight w:val="none"/>
        </w:rPr>
      </w:pPr>
      <w:bookmarkStart w:id="251" w:name="bt投标文件的评估和比较"/>
      <w:bookmarkEnd w:id="251"/>
      <w:bookmarkStart w:id="252" w:name="bt废标"/>
      <w:bookmarkEnd w:id="252"/>
      <w:bookmarkStart w:id="253" w:name="bt投标文件的澄清"/>
      <w:bookmarkEnd w:id="253"/>
      <w:bookmarkStart w:id="254" w:name="_Toc73521671"/>
      <w:bookmarkStart w:id="255" w:name="_Toc73521583"/>
      <w:bookmarkStart w:id="256" w:name="_Toc73518153"/>
      <w:bookmarkStart w:id="257" w:name="_Toc73517675"/>
      <w:r>
        <w:rPr>
          <w:rFonts w:hint="eastAsia" w:ascii="仿宋" w:hAnsi="仿宋" w:eastAsia="仿宋" w:cs="仿宋"/>
          <w:color w:val="auto"/>
          <w:sz w:val="22"/>
          <w:szCs w:val="22"/>
          <w:highlight w:val="none"/>
        </w:rPr>
        <w:t>25.1 为了有助于投标文件的审查、评价和比较，对投标文件含义不明确、同类问题表述不一致或者有明显文字和计算错误的内容，评审委员会可以用书面形式(应当由评审委员会全体成员签字)要求投标</w:t>
      </w:r>
      <w:r>
        <w:rPr>
          <w:rFonts w:hint="eastAsia" w:ascii="仿宋" w:hAnsi="仿宋" w:eastAsia="仿宋" w:cs="仿宋"/>
          <w:color w:val="auto"/>
          <w:sz w:val="22"/>
          <w:szCs w:val="22"/>
          <w:highlight w:val="none"/>
          <w:lang w:eastAsia="zh-CN"/>
        </w:rPr>
        <w:t>人</w:t>
      </w:r>
      <w:r>
        <w:rPr>
          <w:rFonts w:hint="eastAsia" w:ascii="仿宋" w:hAnsi="仿宋" w:eastAsia="仿宋" w:cs="仿宋"/>
          <w:color w:val="auto"/>
          <w:sz w:val="22"/>
          <w:szCs w:val="22"/>
          <w:highlight w:val="none"/>
        </w:rPr>
        <w:t>作出必要的澄清、说明或者纠正。投标人的澄清、说明或者补正</w:t>
      </w:r>
      <w:r>
        <w:rPr>
          <w:rFonts w:hint="eastAsia" w:ascii="仿宋" w:hAnsi="仿宋" w:eastAsia="仿宋" w:cs="仿宋"/>
          <w:color w:val="auto"/>
          <w:sz w:val="22"/>
          <w:szCs w:val="22"/>
          <w:highlight w:val="none"/>
          <w:lang w:eastAsia="zh-CN"/>
        </w:rPr>
        <w:t>应当</w:t>
      </w:r>
      <w:r>
        <w:rPr>
          <w:rFonts w:hint="eastAsia" w:ascii="仿宋" w:hAnsi="仿宋" w:eastAsia="仿宋" w:cs="仿宋"/>
          <w:color w:val="auto"/>
          <w:sz w:val="22"/>
          <w:szCs w:val="22"/>
          <w:highlight w:val="none"/>
        </w:rPr>
        <w:t>采用书面形式（由其授权的代表签字），并不得超出投标文件的范围或者改变投标文件的实质性的内容。根据本通用条款第26条，凡属于评审委员会在评审中发现的算术错误进行核实的修改不在此列。</w:t>
      </w:r>
    </w:p>
    <w:p w14:paraId="5744ECBF">
      <w:pPr>
        <w:spacing w:line="360" w:lineRule="auto"/>
        <w:rPr>
          <w:rFonts w:ascii="黑体" w:hAnsi="黑体" w:eastAsia="黑体" w:cs="黑体"/>
          <w:color w:val="auto"/>
          <w:sz w:val="24"/>
          <w:highlight w:val="none"/>
        </w:rPr>
      </w:pPr>
      <w:bookmarkStart w:id="258" w:name="_Toc73521581"/>
      <w:bookmarkStart w:id="259" w:name="_Toc73518151"/>
      <w:bookmarkStart w:id="260" w:name="_Toc73517673"/>
      <w:bookmarkStart w:id="261" w:name="_Toc100052400"/>
      <w:bookmarkStart w:id="262" w:name="_Toc73521669"/>
      <w:r>
        <w:rPr>
          <w:rFonts w:hint="eastAsia" w:ascii="黑体" w:hAnsi="黑体" w:eastAsia="黑体" w:cs="黑体"/>
          <w:color w:val="auto"/>
          <w:sz w:val="24"/>
          <w:highlight w:val="none"/>
        </w:rPr>
        <w:t>26．错误的修正</w:t>
      </w:r>
      <w:bookmarkEnd w:id="258"/>
      <w:bookmarkEnd w:id="259"/>
      <w:bookmarkEnd w:id="260"/>
      <w:bookmarkEnd w:id="261"/>
      <w:bookmarkEnd w:id="262"/>
    </w:p>
    <w:p w14:paraId="790955FF">
      <w:pPr>
        <w:snapToGrid w:val="0"/>
        <w:spacing w:line="360" w:lineRule="auto"/>
        <w:ind w:firstLine="431" w:firstLineChars="196"/>
        <w:rPr>
          <w:rFonts w:ascii="仿宋" w:hAnsi="仿宋" w:eastAsia="仿宋" w:cs="仿宋"/>
          <w:color w:val="auto"/>
          <w:sz w:val="22"/>
          <w:szCs w:val="22"/>
          <w:highlight w:val="none"/>
        </w:rPr>
      </w:pPr>
      <w:bookmarkStart w:id="263" w:name="_Toc100052401"/>
      <w:r>
        <w:rPr>
          <w:rFonts w:hint="eastAsia" w:ascii="仿宋" w:hAnsi="仿宋" w:eastAsia="仿宋" w:cs="仿宋"/>
          <w:color w:val="auto"/>
          <w:sz w:val="22"/>
          <w:szCs w:val="22"/>
          <w:highlight w:val="none"/>
        </w:rPr>
        <w:t>26.1 评审委员会将审查投标文件是否完整、总体编排是否有序、文件签署是否合格、投标人有无计算上的错误等。</w:t>
      </w:r>
    </w:p>
    <w:p w14:paraId="5964613C">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26.2 算术错误将按以下方法更正（次序排先者优先）：</w:t>
      </w:r>
    </w:p>
    <w:p w14:paraId="4CF1BDE5">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26.2.1 单独密封提交的</w:t>
      </w:r>
      <w:r>
        <w:rPr>
          <w:rFonts w:hint="eastAsia" w:ascii="仿宋" w:hAnsi="仿宋" w:eastAsia="仿宋" w:cs="仿宋"/>
          <w:color w:val="auto"/>
          <w:sz w:val="22"/>
          <w:szCs w:val="22"/>
          <w:highlight w:val="none"/>
          <w:lang w:eastAsia="zh-CN"/>
        </w:rPr>
        <w:t>报价一览表</w:t>
      </w:r>
      <w:r>
        <w:rPr>
          <w:rFonts w:hint="eastAsia" w:ascii="仿宋" w:hAnsi="仿宋" w:eastAsia="仿宋" w:cs="仿宋"/>
          <w:color w:val="auto"/>
          <w:sz w:val="22"/>
          <w:szCs w:val="22"/>
          <w:highlight w:val="none"/>
        </w:rPr>
        <w:t>（报价表）与投标文件中的</w:t>
      </w:r>
      <w:r>
        <w:rPr>
          <w:rFonts w:hint="eastAsia" w:ascii="仿宋" w:hAnsi="仿宋" w:eastAsia="仿宋" w:cs="仿宋"/>
          <w:color w:val="auto"/>
          <w:sz w:val="22"/>
          <w:szCs w:val="22"/>
          <w:highlight w:val="none"/>
          <w:lang w:eastAsia="zh-CN"/>
        </w:rPr>
        <w:t>报价一览表</w:t>
      </w:r>
      <w:r>
        <w:rPr>
          <w:rFonts w:hint="eastAsia" w:ascii="仿宋" w:hAnsi="仿宋" w:eastAsia="仿宋" w:cs="仿宋"/>
          <w:color w:val="auto"/>
          <w:sz w:val="22"/>
          <w:szCs w:val="22"/>
          <w:highlight w:val="none"/>
        </w:rPr>
        <w:t>（报价表）不一致的，以单独密封提交的</w:t>
      </w:r>
      <w:r>
        <w:rPr>
          <w:rFonts w:hint="eastAsia" w:ascii="仿宋" w:hAnsi="仿宋" w:eastAsia="仿宋" w:cs="仿宋"/>
          <w:color w:val="auto"/>
          <w:sz w:val="22"/>
          <w:szCs w:val="22"/>
          <w:highlight w:val="none"/>
          <w:lang w:eastAsia="zh-CN"/>
        </w:rPr>
        <w:t>报价一览表</w:t>
      </w:r>
      <w:r>
        <w:rPr>
          <w:rFonts w:hint="eastAsia" w:ascii="仿宋" w:hAnsi="仿宋" w:eastAsia="仿宋" w:cs="仿宋"/>
          <w:color w:val="auto"/>
          <w:sz w:val="22"/>
          <w:szCs w:val="22"/>
          <w:highlight w:val="none"/>
        </w:rPr>
        <w:t>（报价表）为准；</w:t>
      </w:r>
    </w:p>
    <w:p w14:paraId="51E66F67">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26.2.2 投标文件中</w:t>
      </w:r>
      <w:r>
        <w:rPr>
          <w:rFonts w:hint="eastAsia" w:ascii="仿宋" w:hAnsi="仿宋" w:eastAsia="仿宋" w:cs="仿宋"/>
          <w:color w:val="auto"/>
          <w:sz w:val="22"/>
          <w:szCs w:val="22"/>
          <w:highlight w:val="none"/>
          <w:lang w:eastAsia="zh-CN"/>
        </w:rPr>
        <w:t>报价一览表</w:t>
      </w:r>
      <w:r>
        <w:rPr>
          <w:rFonts w:hint="eastAsia" w:ascii="仿宋" w:hAnsi="仿宋" w:eastAsia="仿宋" w:cs="仿宋"/>
          <w:color w:val="auto"/>
          <w:sz w:val="22"/>
          <w:szCs w:val="22"/>
          <w:highlight w:val="none"/>
        </w:rPr>
        <w:t>（报价表）内容与投标文件中相应内容不一致的，以</w:t>
      </w:r>
      <w:r>
        <w:rPr>
          <w:rFonts w:hint="eastAsia" w:ascii="仿宋" w:hAnsi="仿宋" w:eastAsia="仿宋" w:cs="仿宋"/>
          <w:color w:val="auto"/>
          <w:sz w:val="22"/>
          <w:szCs w:val="22"/>
          <w:highlight w:val="none"/>
          <w:lang w:eastAsia="zh-CN"/>
        </w:rPr>
        <w:t>报价一览表</w:t>
      </w:r>
      <w:r>
        <w:rPr>
          <w:rFonts w:hint="eastAsia" w:ascii="仿宋" w:hAnsi="仿宋" w:eastAsia="仿宋" w:cs="仿宋"/>
          <w:color w:val="auto"/>
          <w:sz w:val="22"/>
          <w:szCs w:val="22"/>
          <w:highlight w:val="none"/>
        </w:rPr>
        <w:t>（报价表）为准；</w:t>
      </w:r>
    </w:p>
    <w:p w14:paraId="13B23374">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26.2.3 大写金额和小写金额不一致的，以大写金额为准；</w:t>
      </w:r>
    </w:p>
    <w:p w14:paraId="7AF12C46">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26.2.4 单价金额小数点或者百分比有明显错位的，以</w:t>
      </w:r>
      <w:r>
        <w:rPr>
          <w:rFonts w:hint="eastAsia" w:ascii="仿宋" w:hAnsi="仿宋" w:eastAsia="仿宋" w:cs="仿宋"/>
          <w:color w:val="auto"/>
          <w:sz w:val="22"/>
          <w:szCs w:val="22"/>
          <w:highlight w:val="none"/>
          <w:lang w:eastAsia="zh-CN"/>
        </w:rPr>
        <w:t>报价一览表</w:t>
      </w:r>
      <w:r>
        <w:rPr>
          <w:rFonts w:hint="eastAsia" w:ascii="仿宋" w:hAnsi="仿宋" w:eastAsia="仿宋" w:cs="仿宋"/>
          <w:color w:val="auto"/>
          <w:sz w:val="22"/>
          <w:szCs w:val="22"/>
          <w:highlight w:val="none"/>
        </w:rPr>
        <w:t>的总价为准，并修改单价；</w:t>
      </w:r>
    </w:p>
    <w:p w14:paraId="3CD06D52">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26.2.5 总价金额与按单价汇总金额不一致的，以单价金额计算结果为准；</w:t>
      </w:r>
    </w:p>
    <w:p w14:paraId="5555E669">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26.2.6 对不同文字文本投标文件的解释发生异议的，以中文文本为准。</w:t>
      </w:r>
    </w:p>
    <w:p w14:paraId="3AFE9E89">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26.3 上述修正错误的原则及方法调整或修正投标文件的投标报价，投标人同意后，调整后的投标报价对投标人起约束作用。</w:t>
      </w:r>
      <w:r>
        <w:rPr>
          <w:rFonts w:hint="eastAsia" w:ascii="仿宋" w:hAnsi="仿宋" w:eastAsia="仿宋" w:cs="仿宋"/>
          <w:bCs/>
          <w:color w:val="auto"/>
          <w:sz w:val="22"/>
          <w:szCs w:val="22"/>
          <w:highlight w:val="none"/>
        </w:rPr>
        <w:t>如果投标人不接受修正后的报价，则其投标将被拒绝。</w:t>
      </w:r>
    </w:p>
    <w:p w14:paraId="759F4B78">
      <w:pPr>
        <w:spacing w:line="360" w:lineRule="auto"/>
        <w:rPr>
          <w:rFonts w:ascii="黑体" w:hAnsi="黑体" w:eastAsia="黑体" w:cs="黑体"/>
          <w:color w:val="auto"/>
          <w:sz w:val="24"/>
          <w:highlight w:val="none"/>
        </w:rPr>
      </w:pPr>
      <w:r>
        <w:rPr>
          <w:rFonts w:hint="eastAsia" w:ascii="黑体" w:hAnsi="黑体" w:eastAsia="黑体" w:cs="黑体"/>
          <w:color w:val="auto"/>
          <w:sz w:val="24"/>
          <w:highlight w:val="none"/>
        </w:rPr>
        <w:t>27．投标文件的</w:t>
      </w:r>
      <w:bookmarkEnd w:id="254"/>
      <w:bookmarkEnd w:id="255"/>
      <w:bookmarkEnd w:id="256"/>
      <w:bookmarkEnd w:id="257"/>
      <w:r>
        <w:rPr>
          <w:rFonts w:hint="eastAsia" w:ascii="黑体" w:hAnsi="黑体" w:eastAsia="黑体" w:cs="黑体"/>
          <w:color w:val="auto"/>
          <w:sz w:val="24"/>
          <w:highlight w:val="none"/>
        </w:rPr>
        <w:t>比较与评价</w:t>
      </w:r>
      <w:bookmarkEnd w:id="263"/>
    </w:p>
    <w:p w14:paraId="6520B6D4">
      <w:pPr>
        <w:spacing w:line="360" w:lineRule="auto"/>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评审委员会按招标文件中规定的评标方法和标准，对资格性检查和符合性检查合格且报价不超过预算控制金额的投标文件进行商务和技术评审，综合比较与评价。</w:t>
      </w:r>
    </w:p>
    <w:p w14:paraId="772F53CC">
      <w:pPr>
        <w:spacing w:line="360" w:lineRule="auto"/>
        <w:rPr>
          <w:rFonts w:ascii="黑体" w:hAnsi="黑体" w:eastAsia="黑体" w:cs="黑体"/>
          <w:color w:val="auto"/>
          <w:sz w:val="24"/>
          <w:highlight w:val="none"/>
        </w:rPr>
      </w:pPr>
      <w:bookmarkStart w:id="264" w:name="_Toc100052402"/>
      <w:r>
        <w:rPr>
          <w:rFonts w:hint="eastAsia" w:ascii="黑体" w:hAnsi="黑体" w:eastAsia="黑体" w:cs="黑体"/>
          <w:color w:val="auto"/>
          <w:sz w:val="24"/>
          <w:highlight w:val="none"/>
        </w:rPr>
        <w:t>28．评标方法</w:t>
      </w:r>
      <w:bookmarkEnd w:id="264"/>
    </w:p>
    <w:p w14:paraId="1DC7DDBA">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28.1 评标方法分为最低评标价法、综合评分法及法律、法规允许的其它评标办法。</w:t>
      </w:r>
    </w:p>
    <w:p w14:paraId="432D0943">
      <w:pPr>
        <w:snapToGrid w:val="0"/>
        <w:spacing w:line="360" w:lineRule="auto"/>
        <w:ind w:firstLine="433" w:firstLineChars="196"/>
        <w:rPr>
          <w:rFonts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rPr>
        <w:t>28.1.</w:t>
      </w:r>
      <w:bookmarkStart w:id="265" w:name="评标方法2"/>
      <w:r>
        <w:rPr>
          <w:rFonts w:hint="eastAsia" w:ascii="仿宋" w:hAnsi="仿宋" w:eastAsia="仿宋" w:cs="仿宋"/>
          <w:b/>
          <w:bCs/>
          <w:color w:val="auto"/>
          <w:sz w:val="22"/>
          <w:szCs w:val="22"/>
          <w:highlight w:val="none"/>
        </w:rPr>
        <w:t>1 最低评标价法</w:t>
      </w:r>
    </w:p>
    <w:p w14:paraId="15A5EC41">
      <w:pPr>
        <w:snapToGrid w:val="0"/>
        <w:spacing w:line="360" w:lineRule="auto"/>
        <w:ind w:firstLine="431" w:firstLineChars="196"/>
        <w:rPr>
          <w:rFonts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最低评标价法，是指以价格因素确定中标候选</w:t>
      </w:r>
      <w:r>
        <w:rPr>
          <w:rFonts w:hint="eastAsia" w:ascii="仿宋" w:hAnsi="仿宋" w:eastAsia="仿宋" w:cs="仿宋"/>
          <w:bCs/>
          <w:color w:val="auto"/>
          <w:sz w:val="22"/>
          <w:szCs w:val="22"/>
          <w:highlight w:val="none"/>
          <w:lang w:eastAsia="zh-CN"/>
        </w:rPr>
        <w:t>人</w:t>
      </w:r>
      <w:r>
        <w:rPr>
          <w:rFonts w:hint="eastAsia" w:ascii="仿宋" w:hAnsi="仿宋" w:eastAsia="仿宋" w:cs="仿宋"/>
          <w:bCs/>
          <w:color w:val="auto"/>
          <w:sz w:val="22"/>
          <w:szCs w:val="22"/>
          <w:highlight w:val="none"/>
        </w:rPr>
        <w:t>的评标方法，即在满足招标文件实质性要求前提下，以报价最低的投标</w:t>
      </w:r>
      <w:r>
        <w:rPr>
          <w:rFonts w:hint="eastAsia" w:ascii="仿宋" w:hAnsi="仿宋" w:eastAsia="仿宋" w:cs="仿宋"/>
          <w:bCs/>
          <w:color w:val="auto"/>
          <w:sz w:val="22"/>
          <w:szCs w:val="22"/>
          <w:highlight w:val="none"/>
          <w:lang w:eastAsia="zh-CN"/>
        </w:rPr>
        <w:t>人</w:t>
      </w:r>
      <w:r>
        <w:rPr>
          <w:rFonts w:hint="eastAsia" w:ascii="仿宋" w:hAnsi="仿宋" w:eastAsia="仿宋" w:cs="仿宋"/>
          <w:bCs/>
          <w:color w:val="auto"/>
          <w:sz w:val="22"/>
          <w:szCs w:val="22"/>
          <w:highlight w:val="none"/>
        </w:rPr>
        <w:t>作为中标候选</w:t>
      </w:r>
      <w:r>
        <w:rPr>
          <w:rFonts w:hint="eastAsia" w:ascii="仿宋" w:hAnsi="仿宋" w:eastAsia="仿宋" w:cs="仿宋"/>
          <w:bCs/>
          <w:color w:val="auto"/>
          <w:sz w:val="22"/>
          <w:szCs w:val="22"/>
          <w:highlight w:val="none"/>
          <w:lang w:eastAsia="zh-CN"/>
        </w:rPr>
        <w:t>人</w:t>
      </w:r>
      <w:r>
        <w:rPr>
          <w:rFonts w:hint="eastAsia" w:ascii="仿宋" w:hAnsi="仿宋" w:eastAsia="仿宋" w:cs="仿宋"/>
          <w:bCs/>
          <w:color w:val="auto"/>
          <w:sz w:val="22"/>
          <w:szCs w:val="22"/>
          <w:highlight w:val="none"/>
        </w:rPr>
        <w:t>或中标</w:t>
      </w:r>
      <w:r>
        <w:rPr>
          <w:rFonts w:hint="eastAsia" w:ascii="仿宋" w:hAnsi="仿宋" w:eastAsia="仿宋" w:cs="仿宋"/>
          <w:bCs/>
          <w:color w:val="auto"/>
          <w:sz w:val="22"/>
          <w:szCs w:val="22"/>
          <w:highlight w:val="none"/>
          <w:lang w:eastAsia="zh-CN"/>
        </w:rPr>
        <w:t>人</w:t>
      </w:r>
      <w:r>
        <w:rPr>
          <w:rFonts w:hint="eastAsia" w:ascii="仿宋" w:hAnsi="仿宋" w:eastAsia="仿宋" w:cs="仿宋"/>
          <w:bCs/>
          <w:color w:val="auto"/>
          <w:sz w:val="22"/>
          <w:szCs w:val="22"/>
          <w:highlight w:val="none"/>
        </w:rPr>
        <w:t>的评标方法。</w:t>
      </w:r>
    </w:p>
    <w:p w14:paraId="24CC3510">
      <w:pPr>
        <w:snapToGrid w:val="0"/>
        <w:spacing w:line="360" w:lineRule="auto"/>
        <w:ind w:firstLine="433" w:firstLineChars="196"/>
        <w:rPr>
          <w:rFonts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rPr>
        <w:t>28.1.2 综合评分法</w:t>
      </w:r>
      <w:bookmarkEnd w:id="265"/>
    </w:p>
    <w:p w14:paraId="2C80D486">
      <w:pPr>
        <w:snapToGrid w:val="0"/>
        <w:spacing w:line="360" w:lineRule="auto"/>
        <w:ind w:firstLine="431" w:firstLineChars="196"/>
        <w:rPr>
          <w:rFonts w:ascii="仿宋" w:hAnsi="仿宋" w:eastAsia="仿宋" w:cs="仿宋"/>
          <w:bCs/>
          <w:color w:val="auto"/>
          <w:sz w:val="22"/>
          <w:szCs w:val="22"/>
          <w:highlight w:val="none"/>
        </w:rPr>
      </w:pPr>
      <w:bookmarkStart w:id="266" w:name="评标方法3"/>
      <w:r>
        <w:rPr>
          <w:rFonts w:hint="eastAsia" w:ascii="仿宋" w:hAnsi="仿宋" w:eastAsia="仿宋" w:cs="仿宋"/>
          <w:bCs/>
          <w:color w:val="auto"/>
          <w:sz w:val="22"/>
          <w:szCs w:val="22"/>
          <w:highlight w:val="none"/>
        </w:rPr>
        <w:t>综合评分法，是指在最大限度地满足招标文件实质性要求前提下，按照招标文件中规定的各项因素进行量化打分，以评标总得分最高的投标</w:t>
      </w:r>
      <w:r>
        <w:rPr>
          <w:rFonts w:hint="eastAsia" w:ascii="仿宋" w:hAnsi="仿宋" w:eastAsia="仿宋" w:cs="仿宋"/>
          <w:bCs/>
          <w:color w:val="auto"/>
          <w:sz w:val="22"/>
          <w:szCs w:val="22"/>
          <w:highlight w:val="none"/>
          <w:lang w:eastAsia="zh-CN"/>
        </w:rPr>
        <w:t>人</w:t>
      </w:r>
      <w:r>
        <w:rPr>
          <w:rFonts w:hint="eastAsia" w:ascii="仿宋" w:hAnsi="仿宋" w:eastAsia="仿宋" w:cs="仿宋"/>
          <w:bCs/>
          <w:color w:val="auto"/>
          <w:sz w:val="22"/>
          <w:szCs w:val="22"/>
          <w:highlight w:val="none"/>
        </w:rPr>
        <w:t>作为中标候选</w:t>
      </w:r>
      <w:r>
        <w:rPr>
          <w:rFonts w:hint="eastAsia" w:ascii="仿宋" w:hAnsi="仿宋" w:eastAsia="仿宋" w:cs="仿宋"/>
          <w:bCs/>
          <w:color w:val="auto"/>
          <w:sz w:val="22"/>
          <w:szCs w:val="22"/>
          <w:highlight w:val="none"/>
          <w:lang w:eastAsia="zh-CN"/>
        </w:rPr>
        <w:t>人</w:t>
      </w:r>
      <w:r>
        <w:rPr>
          <w:rFonts w:hint="eastAsia" w:ascii="仿宋" w:hAnsi="仿宋" w:eastAsia="仿宋" w:cs="仿宋"/>
          <w:bCs/>
          <w:color w:val="auto"/>
          <w:sz w:val="22"/>
          <w:szCs w:val="22"/>
          <w:highlight w:val="none"/>
        </w:rPr>
        <w:t>或中标</w:t>
      </w:r>
      <w:r>
        <w:rPr>
          <w:rFonts w:hint="eastAsia" w:ascii="仿宋" w:hAnsi="仿宋" w:eastAsia="仿宋" w:cs="仿宋"/>
          <w:bCs/>
          <w:color w:val="auto"/>
          <w:sz w:val="22"/>
          <w:szCs w:val="22"/>
          <w:highlight w:val="none"/>
          <w:lang w:eastAsia="zh-CN"/>
        </w:rPr>
        <w:t>人</w:t>
      </w:r>
      <w:r>
        <w:rPr>
          <w:rFonts w:hint="eastAsia" w:ascii="仿宋" w:hAnsi="仿宋" w:eastAsia="仿宋" w:cs="仿宋"/>
          <w:bCs/>
          <w:color w:val="auto"/>
          <w:sz w:val="22"/>
          <w:szCs w:val="22"/>
          <w:highlight w:val="none"/>
        </w:rPr>
        <w:t>的评标方法。</w:t>
      </w:r>
    </w:p>
    <w:p w14:paraId="5A563604">
      <w:pPr>
        <w:snapToGrid w:val="0"/>
        <w:spacing w:line="360" w:lineRule="auto"/>
        <w:ind w:firstLine="433" w:firstLineChars="196"/>
        <w:rPr>
          <w:rFonts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rPr>
        <w:t>28.2 本项目采用的评标方法</w:t>
      </w:r>
      <w:bookmarkEnd w:id="266"/>
    </w:p>
    <w:p w14:paraId="1C3C568A">
      <w:pPr>
        <w:snapToGrid w:val="0"/>
        <w:spacing w:line="360" w:lineRule="auto"/>
        <w:ind w:firstLine="433" w:firstLineChars="196"/>
        <w:rPr>
          <w:rFonts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rPr>
        <w:t>（请详见第二册第二章《评标信息》）</w:t>
      </w:r>
    </w:p>
    <w:p w14:paraId="36BB56B3">
      <w:pPr>
        <w:spacing w:line="360" w:lineRule="auto"/>
        <w:rPr>
          <w:rFonts w:ascii="黑体" w:hAnsi="黑体" w:eastAsia="黑体" w:cs="黑体"/>
          <w:color w:val="auto"/>
          <w:sz w:val="24"/>
          <w:highlight w:val="none"/>
        </w:rPr>
      </w:pPr>
      <w:bookmarkStart w:id="267" w:name="_Toc73517677"/>
      <w:bookmarkStart w:id="268" w:name="_Toc100052403"/>
      <w:bookmarkStart w:id="269" w:name="_Toc60631660"/>
      <w:bookmarkStart w:id="270" w:name="_Toc73521673"/>
      <w:bookmarkStart w:id="271" w:name="_Toc73521585"/>
      <w:bookmarkStart w:id="272" w:name="_Toc60560665"/>
      <w:bookmarkStart w:id="273" w:name="_Toc73518155"/>
      <w:bookmarkStart w:id="274" w:name="_Toc100052404"/>
      <w:r>
        <w:rPr>
          <w:rFonts w:hint="eastAsia" w:ascii="黑体" w:hAnsi="黑体" w:eastAsia="黑体" w:cs="黑体"/>
          <w:color w:val="auto"/>
          <w:sz w:val="24"/>
          <w:highlight w:val="none"/>
        </w:rPr>
        <w:t>29．定标</w:t>
      </w:r>
      <w:bookmarkEnd w:id="267"/>
      <w:bookmarkEnd w:id="268"/>
      <w:bookmarkEnd w:id="269"/>
      <w:bookmarkEnd w:id="270"/>
      <w:bookmarkEnd w:id="271"/>
      <w:bookmarkEnd w:id="272"/>
      <w:bookmarkEnd w:id="273"/>
      <w:r>
        <w:rPr>
          <w:rFonts w:hint="eastAsia" w:ascii="黑体" w:hAnsi="黑体" w:eastAsia="黑体" w:cs="黑体"/>
          <w:color w:val="auto"/>
          <w:sz w:val="24"/>
          <w:highlight w:val="none"/>
        </w:rPr>
        <w:t>（适用于非评定分离项目）</w:t>
      </w:r>
    </w:p>
    <w:p w14:paraId="2F85BA29">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29.1 评审委员会依据本招标文件所约定的评标方法进行评审和比较，向</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机构提交书面评审报告，并根据评标方法比较评价结果从优到劣进行排序，并推荐中标候选人或确定中标</w:t>
      </w:r>
      <w:r>
        <w:rPr>
          <w:rFonts w:hint="eastAsia" w:ascii="仿宋" w:hAnsi="仿宋" w:eastAsia="仿宋" w:cs="仿宋"/>
          <w:color w:val="auto"/>
          <w:sz w:val="22"/>
          <w:szCs w:val="22"/>
          <w:highlight w:val="none"/>
          <w:lang w:eastAsia="zh-CN"/>
        </w:rPr>
        <w:t>人</w:t>
      </w:r>
      <w:r>
        <w:rPr>
          <w:rFonts w:hint="eastAsia" w:ascii="仿宋" w:hAnsi="仿宋" w:eastAsia="仿宋" w:cs="仿宋"/>
          <w:color w:val="auto"/>
          <w:sz w:val="22"/>
          <w:szCs w:val="22"/>
          <w:highlight w:val="none"/>
        </w:rPr>
        <w:t>；</w:t>
      </w:r>
    </w:p>
    <w:p w14:paraId="1B9A04D5">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29.2 采用最低评标价法的，按投标报价由低到高顺序排列，投标报价相同的并列，出现并列情况采取随机抽取的方式确定，具体操作办法及流程由评审委员会确定。投标文件满足招标文件全部实质性要求且投标报价最低的投标人为</w:t>
      </w:r>
      <w:bookmarkStart w:id="275" w:name="_Hlk73821177"/>
      <w:r>
        <w:rPr>
          <w:rFonts w:hint="eastAsia" w:ascii="仿宋" w:hAnsi="仿宋" w:eastAsia="仿宋" w:cs="仿宋"/>
          <w:color w:val="auto"/>
          <w:sz w:val="22"/>
          <w:szCs w:val="22"/>
          <w:highlight w:val="none"/>
        </w:rPr>
        <w:t>第一候选中标</w:t>
      </w:r>
      <w:r>
        <w:rPr>
          <w:rFonts w:hint="eastAsia" w:ascii="仿宋" w:hAnsi="仿宋" w:eastAsia="仿宋" w:cs="仿宋"/>
          <w:color w:val="auto"/>
          <w:sz w:val="22"/>
          <w:szCs w:val="22"/>
          <w:highlight w:val="none"/>
          <w:lang w:eastAsia="zh-CN"/>
        </w:rPr>
        <w:t>人</w:t>
      </w:r>
      <w:r>
        <w:rPr>
          <w:rFonts w:hint="eastAsia" w:ascii="仿宋" w:hAnsi="仿宋" w:eastAsia="仿宋" w:cs="仿宋"/>
          <w:color w:val="auto"/>
          <w:sz w:val="22"/>
          <w:szCs w:val="22"/>
          <w:highlight w:val="none"/>
        </w:rPr>
        <w:t>（根据规定，除评审得分最高的投标人为第一候选中标</w:t>
      </w:r>
      <w:r>
        <w:rPr>
          <w:rFonts w:hint="eastAsia" w:ascii="仿宋" w:hAnsi="仿宋" w:eastAsia="仿宋" w:cs="仿宋"/>
          <w:color w:val="auto"/>
          <w:sz w:val="22"/>
          <w:szCs w:val="22"/>
          <w:highlight w:val="none"/>
          <w:lang w:eastAsia="zh-CN"/>
        </w:rPr>
        <w:t>人</w:t>
      </w:r>
      <w:r>
        <w:rPr>
          <w:rFonts w:hint="eastAsia" w:ascii="仿宋" w:hAnsi="仿宋" w:eastAsia="仿宋" w:cs="仿宋"/>
          <w:color w:val="auto"/>
          <w:sz w:val="22"/>
          <w:szCs w:val="22"/>
          <w:highlight w:val="none"/>
        </w:rPr>
        <w:t>外，可以明确按评审得分由高到低顺序设定不超过3家候选中标</w:t>
      </w:r>
      <w:r>
        <w:rPr>
          <w:rFonts w:hint="eastAsia" w:ascii="仿宋" w:hAnsi="仿宋" w:eastAsia="仿宋" w:cs="仿宋"/>
          <w:color w:val="auto"/>
          <w:sz w:val="22"/>
          <w:szCs w:val="22"/>
          <w:highlight w:val="none"/>
          <w:lang w:eastAsia="zh-CN"/>
        </w:rPr>
        <w:t>人</w:t>
      </w:r>
      <w:r>
        <w:rPr>
          <w:rFonts w:hint="eastAsia" w:ascii="仿宋" w:hAnsi="仿宋" w:eastAsia="仿宋" w:cs="仿宋"/>
          <w:color w:val="auto"/>
          <w:sz w:val="22"/>
          <w:szCs w:val="22"/>
          <w:highlight w:val="none"/>
        </w:rPr>
        <w:t>，</w:t>
      </w:r>
      <w:bookmarkEnd w:id="275"/>
      <w:r>
        <w:rPr>
          <w:rFonts w:hint="eastAsia" w:ascii="仿宋" w:hAnsi="仿宋" w:eastAsia="仿宋" w:cs="仿宋"/>
          <w:color w:val="auto"/>
          <w:sz w:val="22"/>
          <w:szCs w:val="22"/>
          <w:highlight w:val="none"/>
        </w:rPr>
        <w:t>本项目设置的候选</w:t>
      </w:r>
      <w:r>
        <w:rPr>
          <w:rFonts w:hint="eastAsia" w:ascii="仿宋" w:hAnsi="仿宋" w:eastAsia="仿宋" w:cs="仿宋"/>
          <w:color w:val="auto"/>
          <w:sz w:val="22"/>
          <w:szCs w:val="22"/>
          <w:highlight w:val="none"/>
          <w:lang w:eastAsia="zh-CN"/>
        </w:rPr>
        <w:t>人</w:t>
      </w:r>
      <w:r>
        <w:rPr>
          <w:rFonts w:hint="eastAsia" w:ascii="仿宋" w:hAnsi="仿宋" w:eastAsia="仿宋" w:cs="仿宋"/>
          <w:color w:val="auto"/>
          <w:sz w:val="22"/>
          <w:szCs w:val="22"/>
          <w:highlight w:val="none"/>
        </w:rPr>
        <w:t>情况详见第二册第二章《关键信息》）。</w:t>
      </w:r>
    </w:p>
    <w:p w14:paraId="31271D98">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29.3 采用综合评分法的，评标结果按评审后得分由高到低顺序排列。得分相同的，按投标报价由低到高顺序排列。得分且投标报价相同的，按</w:t>
      </w:r>
      <w:r>
        <w:rPr>
          <w:rFonts w:hint="eastAsia" w:ascii="仿宋" w:hAnsi="仿宋" w:eastAsia="仿宋" w:cs="仿宋"/>
          <w:color w:val="auto"/>
          <w:sz w:val="22"/>
          <w:szCs w:val="22"/>
          <w:highlight w:val="none"/>
          <w:lang w:eastAsia="zh-CN"/>
        </w:rPr>
        <w:t>技术</w:t>
      </w:r>
      <w:r>
        <w:rPr>
          <w:rFonts w:hint="eastAsia" w:ascii="仿宋" w:hAnsi="仿宋" w:eastAsia="仿宋" w:cs="仿宋"/>
          <w:color w:val="auto"/>
          <w:sz w:val="22"/>
          <w:szCs w:val="22"/>
          <w:highlight w:val="none"/>
        </w:rPr>
        <w:t>部分得分由高到低排列。得分、投标报价和</w:t>
      </w:r>
      <w:r>
        <w:rPr>
          <w:rFonts w:hint="eastAsia" w:ascii="仿宋" w:hAnsi="仿宋" w:eastAsia="仿宋" w:cs="仿宋"/>
          <w:color w:val="auto"/>
          <w:sz w:val="22"/>
          <w:szCs w:val="22"/>
          <w:highlight w:val="none"/>
          <w:lang w:eastAsia="zh-CN"/>
        </w:rPr>
        <w:t>技术</w:t>
      </w:r>
      <w:r>
        <w:rPr>
          <w:rFonts w:hint="eastAsia" w:ascii="仿宋" w:hAnsi="仿宋" w:eastAsia="仿宋" w:cs="仿宋"/>
          <w:color w:val="auto"/>
          <w:sz w:val="22"/>
          <w:szCs w:val="22"/>
          <w:highlight w:val="none"/>
        </w:rPr>
        <w:t>部分得分均相同的并列，出现并列情况采取随机抽取的方式确定，具体操作办法及流程由评审委员会确定。投标文件满足招标文件全部实质性要求，且按照评审因素的量化指标评审得分最高的投标人为中标</w:t>
      </w:r>
      <w:r>
        <w:rPr>
          <w:rFonts w:hint="eastAsia" w:ascii="仿宋" w:hAnsi="仿宋" w:eastAsia="仿宋" w:cs="仿宋"/>
          <w:color w:val="auto"/>
          <w:sz w:val="22"/>
          <w:szCs w:val="22"/>
          <w:highlight w:val="none"/>
          <w:lang w:eastAsia="zh-CN"/>
        </w:rPr>
        <w:t>人</w:t>
      </w:r>
      <w:r>
        <w:rPr>
          <w:rFonts w:hint="eastAsia" w:ascii="仿宋" w:hAnsi="仿宋" w:eastAsia="仿宋" w:cs="仿宋"/>
          <w:color w:val="auto"/>
          <w:sz w:val="22"/>
          <w:szCs w:val="22"/>
          <w:highlight w:val="none"/>
        </w:rPr>
        <w:t>（根据规定，除评审得分最高的投标人为第一候选中标</w:t>
      </w:r>
      <w:r>
        <w:rPr>
          <w:rFonts w:hint="eastAsia" w:ascii="仿宋" w:hAnsi="仿宋" w:eastAsia="仿宋" w:cs="仿宋"/>
          <w:color w:val="auto"/>
          <w:sz w:val="22"/>
          <w:szCs w:val="22"/>
          <w:highlight w:val="none"/>
          <w:lang w:eastAsia="zh-CN"/>
        </w:rPr>
        <w:t>人</w:t>
      </w:r>
      <w:r>
        <w:rPr>
          <w:rFonts w:hint="eastAsia" w:ascii="仿宋" w:hAnsi="仿宋" w:eastAsia="仿宋" w:cs="仿宋"/>
          <w:color w:val="auto"/>
          <w:sz w:val="22"/>
          <w:szCs w:val="22"/>
          <w:highlight w:val="none"/>
        </w:rPr>
        <w:t>外，可以明确按评审得分由高到低顺序设定不超过</w:t>
      </w:r>
      <w:r>
        <w:rPr>
          <w:rFonts w:hint="eastAsia" w:ascii="仿宋" w:hAnsi="仿宋" w:eastAsia="仿宋" w:cs="仿宋"/>
          <w:color w:val="auto"/>
          <w:sz w:val="22"/>
          <w:szCs w:val="22"/>
          <w:highlight w:val="none"/>
          <w:lang w:val="en-US" w:eastAsia="zh-CN"/>
        </w:rPr>
        <w:t>3</w:t>
      </w:r>
      <w:r>
        <w:rPr>
          <w:rFonts w:hint="eastAsia" w:ascii="仿宋" w:hAnsi="仿宋" w:eastAsia="仿宋" w:cs="仿宋"/>
          <w:color w:val="auto"/>
          <w:sz w:val="22"/>
          <w:szCs w:val="22"/>
          <w:highlight w:val="none"/>
        </w:rPr>
        <w:t>家候选中标</w:t>
      </w:r>
      <w:r>
        <w:rPr>
          <w:rFonts w:hint="eastAsia" w:ascii="仿宋" w:hAnsi="仿宋" w:eastAsia="仿宋" w:cs="仿宋"/>
          <w:color w:val="auto"/>
          <w:sz w:val="22"/>
          <w:szCs w:val="22"/>
          <w:highlight w:val="none"/>
          <w:lang w:eastAsia="zh-CN"/>
        </w:rPr>
        <w:t>人</w:t>
      </w:r>
      <w:r>
        <w:rPr>
          <w:rFonts w:hint="eastAsia" w:ascii="仿宋" w:hAnsi="仿宋" w:eastAsia="仿宋" w:cs="仿宋"/>
          <w:color w:val="auto"/>
          <w:sz w:val="22"/>
          <w:szCs w:val="22"/>
          <w:highlight w:val="none"/>
        </w:rPr>
        <w:t>，本项目设置的候选</w:t>
      </w:r>
      <w:r>
        <w:rPr>
          <w:rFonts w:hint="eastAsia" w:ascii="仿宋" w:hAnsi="仿宋" w:eastAsia="仿宋" w:cs="仿宋"/>
          <w:color w:val="auto"/>
          <w:sz w:val="22"/>
          <w:szCs w:val="22"/>
          <w:highlight w:val="none"/>
          <w:lang w:eastAsia="zh-CN"/>
        </w:rPr>
        <w:t>人</w:t>
      </w:r>
      <w:r>
        <w:rPr>
          <w:rFonts w:hint="eastAsia" w:ascii="仿宋" w:hAnsi="仿宋" w:eastAsia="仿宋" w:cs="仿宋"/>
          <w:color w:val="auto"/>
          <w:sz w:val="22"/>
          <w:szCs w:val="22"/>
          <w:highlight w:val="none"/>
        </w:rPr>
        <w:t>情况详见第二册第二章《关键信息》）。</w:t>
      </w:r>
    </w:p>
    <w:p w14:paraId="6F0E08FF">
      <w:pPr>
        <w:spacing w:line="360" w:lineRule="auto"/>
        <w:rPr>
          <w:rFonts w:ascii="黑体" w:hAnsi="黑体" w:eastAsia="黑体" w:cs="黑体"/>
          <w:color w:val="auto"/>
          <w:sz w:val="24"/>
          <w:highlight w:val="none"/>
        </w:rPr>
      </w:pPr>
      <w:r>
        <w:rPr>
          <w:rFonts w:hint="eastAsia" w:ascii="黑体" w:hAnsi="黑体" w:eastAsia="黑体" w:cs="黑体"/>
          <w:color w:val="auto"/>
          <w:sz w:val="24"/>
          <w:highlight w:val="none"/>
        </w:rPr>
        <w:t>30．编写评审报告</w:t>
      </w:r>
      <w:bookmarkEnd w:id="274"/>
    </w:p>
    <w:p w14:paraId="63948754">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评审报告是评审委员会根据全体评标成员签字的原始评标记录和评标结果编写的报告，评审报告由评审委员会全体成员签字。对评标结论持有异议的评审委员会成员可以书面方式阐述其不同意见和理由。评审委员会成员拒绝在评审报告上签字且不陈述其不同意见和理由的，视为同意评标结论。评审委员会应当对此作出书面说明并记录在案。</w:t>
      </w:r>
    </w:p>
    <w:p w14:paraId="3023DD51">
      <w:pPr>
        <w:spacing w:line="360" w:lineRule="auto"/>
        <w:rPr>
          <w:rFonts w:ascii="黑体" w:hAnsi="黑体" w:eastAsia="黑体" w:cs="黑体"/>
          <w:color w:val="auto"/>
          <w:sz w:val="24"/>
          <w:highlight w:val="none"/>
        </w:rPr>
      </w:pPr>
      <w:bookmarkStart w:id="276" w:name="_Toc100052405"/>
      <w:bookmarkStart w:id="277" w:name="_Toc73518159"/>
      <w:bookmarkStart w:id="278" w:name="_Toc73521588"/>
      <w:bookmarkStart w:id="279" w:name="_Toc73517681"/>
      <w:bookmarkStart w:id="280" w:name="_Toc73521676"/>
      <w:r>
        <w:rPr>
          <w:rFonts w:hint="eastAsia" w:ascii="黑体" w:hAnsi="黑体" w:eastAsia="黑体" w:cs="黑体"/>
          <w:color w:val="auto"/>
          <w:sz w:val="24"/>
          <w:highlight w:val="none"/>
        </w:rPr>
        <w:t>31．中标结果</w:t>
      </w:r>
      <w:bookmarkEnd w:id="276"/>
    </w:p>
    <w:p w14:paraId="2751CCC6">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31.1 为体现“公开、公平、公正”的原则，评标结束后，</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机构将在指定网站（详见招标公告中“相关项目信息查询网址”）上发布中标结果公告，公示期为</w:t>
      </w:r>
      <w:r>
        <w:rPr>
          <w:rFonts w:hint="eastAsia" w:ascii="仿宋" w:hAnsi="仿宋" w:eastAsia="仿宋" w:cs="仿宋"/>
          <w:color w:val="auto"/>
          <w:sz w:val="22"/>
          <w:szCs w:val="22"/>
          <w:highlight w:val="none"/>
          <w:lang w:val="en-US" w:eastAsia="zh-CN"/>
        </w:rPr>
        <w:t>3</w:t>
      </w:r>
      <w:r>
        <w:rPr>
          <w:rFonts w:ascii="仿宋" w:hAnsi="仿宋" w:eastAsia="仿宋" w:cs="仿宋"/>
          <w:color w:val="auto"/>
          <w:sz w:val="22"/>
          <w:szCs w:val="22"/>
          <w:highlight w:val="none"/>
        </w:rPr>
        <w:t>个</w:t>
      </w:r>
      <w:r>
        <w:rPr>
          <w:rFonts w:hint="eastAsia" w:ascii="仿宋" w:hAnsi="仿宋" w:eastAsia="仿宋" w:cs="仿宋"/>
          <w:color w:val="auto"/>
          <w:sz w:val="22"/>
          <w:szCs w:val="22"/>
          <w:highlight w:val="none"/>
          <w:lang w:val="en-US" w:eastAsia="zh-CN"/>
        </w:rPr>
        <w:t>日历日</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投标人</w:t>
      </w:r>
      <w:r>
        <w:rPr>
          <w:rFonts w:hint="eastAsia" w:ascii="仿宋" w:hAnsi="仿宋" w:eastAsia="仿宋" w:cs="仿宋"/>
          <w:color w:val="auto"/>
          <w:sz w:val="22"/>
          <w:szCs w:val="22"/>
          <w:highlight w:val="none"/>
        </w:rPr>
        <w:t>如对评标结果有异议，请于公示期内，以书面形式向我公司反映。若在公示期内未提出异议，则视为认同该评标结果。</w:t>
      </w:r>
    </w:p>
    <w:p w14:paraId="24FA9118">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31.2 评审委员会不直接向未通过符合性检查的投标人或者未中标的投标人解释落标原因，也不退还投标文件。</w:t>
      </w:r>
    </w:p>
    <w:p w14:paraId="297C21BA">
      <w:pPr>
        <w:spacing w:line="360" w:lineRule="auto"/>
        <w:rPr>
          <w:rFonts w:ascii="黑体" w:hAnsi="黑体" w:eastAsia="黑体" w:cs="黑体"/>
          <w:color w:val="auto"/>
          <w:sz w:val="24"/>
          <w:highlight w:val="none"/>
        </w:rPr>
      </w:pPr>
      <w:bookmarkStart w:id="281" w:name="_Toc100052406"/>
      <w:r>
        <w:rPr>
          <w:rFonts w:hint="eastAsia" w:ascii="黑体" w:hAnsi="黑体" w:eastAsia="黑体" w:cs="黑体"/>
          <w:color w:val="auto"/>
          <w:sz w:val="24"/>
          <w:highlight w:val="none"/>
        </w:rPr>
        <w:t>32．中标通知书</w:t>
      </w:r>
      <w:bookmarkEnd w:id="281"/>
    </w:p>
    <w:p w14:paraId="4F9090C4">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32.</w:t>
      </w:r>
      <w:bookmarkStart w:id="282" w:name="OLE_LINK12"/>
      <w:r>
        <w:rPr>
          <w:rFonts w:hint="eastAsia" w:ascii="仿宋" w:hAnsi="仿宋" w:eastAsia="仿宋" w:cs="仿宋"/>
          <w:color w:val="auto"/>
          <w:sz w:val="22"/>
          <w:szCs w:val="22"/>
          <w:highlight w:val="none"/>
        </w:rPr>
        <w:t>1 中标公告公示期结束后,公示期内无人投诉,招标代理机构将以邮件的形式通知中标人携缴费通知书上所需资料到</w:t>
      </w:r>
      <w:r>
        <w:rPr>
          <w:rFonts w:hint="eastAsia" w:ascii="仿宋" w:hAnsi="仿宋" w:eastAsia="仿宋" w:cs="仿宋"/>
          <w:b/>
          <w:color w:val="auto"/>
          <w:spacing w:val="8"/>
          <w:sz w:val="22"/>
          <w:szCs w:val="28"/>
          <w:highlight w:val="none"/>
        </w:rPr>
        <w:t>深圳市宝安区建设工程监理有限公司</w:t>
      </w:r>
      <w:r>
        <w:rPr>
          <w:rFonts w:hint="eastAsia" w:ascii="仿宋" w:hAnsi="仿宋" w:eastAsia="仿宋" w:cs="仿宋"/>
          <w:color w:val="auto"/>
          <w:sz w:val="22"/>
          <w:szCs w:val="22"/>
          <w:highlight w:val="none"/>
        </w:rPr>
        <w:t>领取《中标通知书》。</w:t>
      </w:r>
      <w:bookmarkEnd w:id="282"/>
    </w:p>
    <w:bookmarkEnd w:id="277"/>
    <w:bookmarkEnd w:id="278"/>
    <w:bookmarkEnd w:id="279"/>
    <w:bookmarkEnd w:id="280"/>
    <w:p w14:paraId="686DB31D">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32.2 中标通知书是合同的重要组成部分。</w:t>
      </w:r>
    </w:p>
    <w:p w14:paraId="67BE9566">
      <w:pPr>
        <w:snapToGrid w:val="0"/>
        <w:spacing w:line="360" w:lineRule="auto"/>
        <w:ind w:firstLine="431" w:firstLineChars="196"/>
        <w:rPr>
          <w:rFonts w:ascii="仿宋" w:hAnsi="仿宋" w:eastAsia="仿宋" w:cs="仿宋"/>
          <w:color w:val="auto"/>
          <w:sz w:val="22"/>
          <w:szCs w:val="22"/>
          <w:highlight w:val="none"/>
        </w:rPr>
      </w:pPr>
    </w:p>
    <w:p w14:paraId="248456A4">
      <w:pPr>
        <w:pStyle w:val="4"/>
        <w:spacing w:line="360" w:lineRule="auto"/>
        <w:jc w:val="center"/>
        <w:rPr>
          <w:rFonts w:ascii="黑体" w:hAnsi="黑体"/>
          <w:color w:val="auto"/>
          <w:highlight w:val="none"/>
        </w:rPr>
      </w:pPr>
      <w:bookmarkStart w:id="283" w:name="bt合同的授予"/>
      <w:bookmarkEnd w:id="283"/>
      <w:bookmarkStart w:id="284" w:name="_Toc14651"/>
      <w:bookmarkStart w:id="285" w:name="_Toc12202"/>
      <w:bookmarkStart w:id="286" w:name="_Toc18673"/>
      <w:bookmarkStart w:id="287" w:name="_Toc6520"/>
      <w:bookmarkStart w:id="288" w:name="_Toc113464760"/>
      <w:bookmarkStart w:id="289" w:name="_Toc4551"/>
      <w:bookmarkStart w:id="290" w:name="_Toc24091"/>
      <w:bookmarkStart w:id="291" w:name="_Toc22053"/>
      <w:bookmarkStart w:id="292" w:name="_Toc30126"/>
      <w:bookmarkStart w:id="293" w:name="_Toc16018"/>
      <w:bookmarkStart w:id="294" w:name="_Toc16252"/>
      <w:bookmarkStart w:id="295" w:name="_Toc4353"/>
      <w:bookmarkStart w:id="296" w:name="_Toc101432971"/>
      <w:bookmarkStart w:id="297" w:name="_Toc128564760"/>
      <w:bookmarkStart w:id="298" w:name="_Toc73517678"/>
      <w:bookmarkStart w:id="299" w:name="_Toc73518156"/>
      <w:bookmarkStart w:id="300" w:name="_Toc100052407"/>
      <w:bookmarkStart w:id="301" w:name="_Toc101074884"/>
      <w:r>
        <w:rPr>
          <w:rFonts w:hint="eastAsia" w:ascii="黑体" w:hAnsi="黑体"/>
          <w:color w:val="auto"/>
          <w:highlight w:val="none"/>
        </w:rPr>
        <w:t>第八章  公开招标失败的后续处理</w:t>
      </w:r>
      <w:bookmarkEnd w:id="284"/>
      <w:bookmarkEnd w:id="285"/>
      <w:bookmarkEnd w:id="286"/>
      <w:bookmarkEnd w:id="287"/>
      <w:bookmarkEnd w:id="288"/>
      <w:bookmarkEnd w:id="289"/>
      <w:bookmarkEnd w:id="290"/>
      <w:bookmarkEnd w:id="291"/>
      <w:bookmarkEnd w:id="292"/>
      <w:bookmarkEnd w:id="293"/>
      <w:bookmarkEnd w:id="294"/>
    </w:p>
    <w:p w14:paraId="71174793">
      <w:pPr>
        <w:spacing w:line="360" w:lineRule="auto"/>
        <w:ind w:left="39" w:firstLine="482"/>
        <w:rPr>
          <w:rFonts w:ascii="黑体" w:hAnsi="黑体" w:eastAsia="黑体" w:cs="黑体"/>
          <w:color w:val="auto"/>
          <w:sz w:val="24"/>
          <w:highlight w:val="none"/>
        </w:rPr>
      </w:pPr>
      <w:r>
        <w:rPr>
          <w:rFonts w:hint="eastAsia" w:ascii="黑体" w:hAnsi="黑体" w:eastAsia="黑体" w:cs="黑体"/>
          <w:color w:val="auto"/>
          <w:sz w:val="24"/>
          <w:highlight w:val="none"/>
        </w:rPr>
        <w:t>33．公开招标失败的处理</w:t>
      </w:r>
    </w:p>
    <w:p w14:paraId="1B445B4A">
      <w:pPr>
        <w:snapToGrid w:val="0"/>
        <w:spacing w:line="360" w:lineRule="auto"/>
        <w:ind w:firstLine="431" w:firstLineChars="196"/>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33.1本项目</w:t>
      </w:r>
      <w:r>
        <w:rPr>
          <w:rFonts w:hint="eastAsia" w:ascii="仿宋" w:hAnsi="仿宋" w:eastAsia="仿宋" w:cs="仿宋"/>
          <w:color w:val="auto"/>
          <w:sz w:val="22"/>
          <w:szCs w:val="22"/>
          <w:highlight w:val="none"/>
          <w:lang w:eastAsia="zh-CN"/>
        </w:rPr>
        <w:t>招标</w:t>
      </w:r>
      <w:r>
        <w:rPr>
          <w:rFonts w:hint="eastAsia" w:ascii="仿宋" w:hAnsi="仿宋" w:eastAsia="仿宋" w:cs="仿宋"/>
          <w:color w:val="auto"/>
          <w:sz w:val="22"/>
          <w:szCs w:val="22"/>
          <w:highlight w:val="none"/>
        </w:rPr>
        <w:t>过程中，投标人数量不足</w:t>
      </w:r>
      <w:r>
        <w:rPr>
          <w:rFonts w:hint="eastAsia" w:ascii="仿宋" w:hAnsi="仿宋" w:eastAsia="仿宋" w:cs="仿宋"/>
          <w:color w:val="auto"/>
          <w:sz w:val="22"/>
          <w:szCs w:val="22"/>
          <w:highlight w:val="none"/>
          <w:lang w:val="en-US" w:eastAsia="zh-CN"/>
        </w:rPr>
        <w:t>三</w:t>
      </w:r>
      <w:r>
        <w:rPr>
          <w:rFonts w:hint="eastAsia" w:ascii="仿宋" w:hAnsi="仿宋" w:eastAsia="仿宋" w:cs="仿宋"/>
          <w:color w:val="auto"/>
          <w:sz w:val="22"/>
          <w:szCs w:val="22"/>
          <w:highlight w:val="none"/>
        </w:rPr>
        <w:t>家或通过资格性和符合性审查的投标人数量不足</w:t>
      </w:r>
      <w:r>
        <w:rPr>
          <w:rFonts w:hint="eastAsia" w:ascii="仿宋" w:hAnsi="仿宋" w:eastAsia="仿宋" w:cs="仿宋"/>
          <w:color w:val="auto"/>
          <w:sz w:val="22"/>
          <w:szCs w:val="22"/>
          <w:highlight w:val="none"/>
          <w:lang w:val="en-US" w:eastAsia="zh-CN"/>
        </w:rPr>
        <w:t>三</w:t>
      </w:r>
      <w:r>
        <w:rPr>
          <w:rFonts w:hint="eastAsia" w:ascii="仿宋" w:hAnsi="仿宋" w:eastAsia="仿宋" w:cs="仿宋"/>
          <w:color w:val="auto"/>
          <w:sz w:val="22"/>
          <w:szCs w:val="22"/>
          <w:highlight w:val="none"/>
        </w:rPr>
        <w:t>家等原因造成招标失败的，按以下方式组织</w:t>
      </w:r>
      <w:r>
        <w:rPr>
          <w:rFonts w:hint="eastAsia" w:ascii="仿宋" w:hAnsi="仿宋" w:eastAsia="仿宋" w:cs="仿宋"/>
          <w:color w:val="auto"/>
          <w:sz w:val="22"/>
          <w:szCs w:val="22"/>
          <w:highlight w:val="none"/>
          <w:lang w:eastAsia="zh-CN"/>
        </w:rPr>
        <w:t>招标</w:t>
      </w:r>
      <w:r>
        <w:rPr>
          <w:rFonts w:hint="eastAsia" w:ascii="仿宋" w:hAnsi="仿宋" w:eastAsia="仿宋" w:cs="仿宋"/>
          <w:color w:val="auto"/>
          <w:sz w:val="22"/>
          <w:szCs w:val="22"/>
          <w:highlight w:val="none"/>
        </w:rPr>
        <w:t>：</w:t>
      </w:r>
    </w:p>
    <w:p w14:paraId="14A35D6E">
      <w:pPr>
        <w:snapToGrid w:val="0"/>
        <w:spacing w:line="360" w:lineRule="auto"/>
        <w:ind w:firstLine="431" w:firstLineChars="196"/>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33</w:t>
      </w:r>
      <w:r>
        <w:rPr>
          <w:rFonts w:hint="eastAsia" w:ascii="仿宋" w:hAnsi="仿宋" w:eastAsia="仿宋" w:cs="仿宋"/>
          <w:color w:val="auto"/>
          <w:sz w:val="22"/>
          <w:szCs w:val="22"/>
          <w:highlight w:val="none"/>
        </w:rPr>
        <w:t>.1.1不改变招标方案的，重新发布招标公告组织第二次招标；</w:t>
      </w:r>
    </w:p>
    <w:p w14:paraId="60EA262E">
      <w:pPr>
        <w:snapToGrid w:val="0"/>
        <w:spacing w:line="360" w:lineRule="auto"/>
        <w:ind w:firstLine="431" w:firstLineChars="196"/>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33</w:t>
      </w:r>
      <w:r>
        <w:rPr>
          <w:rFonts w:hint="eastAsia" w:ascii="仿宋" w:hAnsi="仿宋" w:eastAsia="仿宋" w:cs="仿宋"/>
          <w:color w:val="auto"/>
          <w:sz w:val="22"/>
          <w:szCs w:val="22"/>
          <w:highlight w:val="none"/>
        </w:rPr>
        <w:t>.1.2改变招标方案的，如调整</w:t>
      </w:r>
      <w:r>
        <w:rPr>
          <w:rFonts w:hint="eastAsia" w:ascii="仿宋" w:hAnsi="仿宋" w:eastAsia="仿宋" w:cs="仿宋"/>
          <w:color w:val="auto"/>
          <w:sz w:val="22"/>
          <w:szCs w:val="22"/>
          <w:highlight w:val="none"/>
          <w:lang w:eastAsia="zh-CN"/>
        </w:rPr>
        <w:t>招标方</w:t>
      </w:r>
      <w:r>
        <w:rPr>
          <w:rFonts w:hint="eastAsia" w:ascii="仿宋" w:hAnsi="仿宋" w:eastAsia="仿宋" w:cs="仿宋"/>
          <w:color w:val="auto"/>
          <w:sz w:val="22"/>
          <w:szCs w:val="22"/>
          <w:highlight w:val="none"/>
        </w:rPr>
        <w:t>式、控制价等实质性条款重新提交</w:t>
      </w:r>
      <w:r>
        <w:rPr>
          <w:rFonts w:hint="eastAsia" w:ascii="仿宋" w:hAnsi="仿宋" w:eastAsia="仿宋" w:cs="仿宋"/>
          <w:color w:val="auto"/>
          <w:sz w:val="22"/>
          <w:szCs w:val="22"/>
          <w:highlight w:val="none"/>
          <w:lang w:eastAsia="zh-CN"/>
        </w:rPr>
        <w:t>招标</w:t>
      </w:r>
      <w:r>
        <w:rPr>
          <w:rFonts w:hint="eastAsia" w:ascii="仿宋" w:hAnsi="仿宋" w:eastAsia="仿宋" w:cs="仿宋"/>
          <w:color w:val="auto"/>
          <w:sz w:val="22"/>
          <w:szCs w:val="22"/>
          <w:highlight w:val="none"/>
        </w:rPr>
        <w:t>申请并组织第二次招标。</w:t>
      </w:r>
      <w:bookmarkEnd w:id="295"/>
      <w:bookmarkEnd w:id="296"/>
      <w:bookmarkEnd w:id="297"/>
    </w:p>
    <w:p w14:paraId="7CA82339">
      <w:pPr>
        <w:pStyle w:val="4"/>
        <w:spacing w:line="360" w:lineRule="auto"/>
        <w:jc w:val="center"/>
        <w:rPr>
          <w:rFonts w:ascii="黑体" w:hAnsi="黑体"/>
          <w:color w:val="auto"/>
          <w:highlight w:val="none"/>
        </w:rPr>
      </w:pPr>
      <w:bookmarkStart w:id="302" w:name="_Toc3566"/>
      <w:bookmarkStart w:id="303" w:name="_Toc4869"/>
      <w:bookmarkStart w:id="304" w:name="_Toc9048"/>
      <w:bookmarkStart w:id="305" w:name="_Toc101432972"/>
      <w:bookmarkStart w:id="306" w:name="_Toc21517"/>
      <w:bookmarkStart w:id="307" w:name="_Toc7414"/>
      <w:bookmarkStart w:id="308" w:name="_Toc128564761"/>
      <w:bookmarkStart w:id="309" w:name="_Toc3117"/>
      <w:bookmarkStart w:id="310" w:name="_Toc26644"/>
      <w:bookmarkStart w:id="311" w:name="_Toc1569"/>
      <w:bookmarkStart w:id="312" w:name="_Toc20643"/>
      <w:bookmarkStart w:id="313" w:name="_Toc29041"/>
      <w:bookmarkStart w:id="314" w:name="_Toc24240"/>
      <w:r>
        <w:rPr>
          <w:rFonts w:hint="eastAsia" w:ascii="黑体" w:hAnsi="黑体"/>
          <w:color w:val="auto"/>
          <w:highlight w:val="none"/>
        </w:rPr>
        <w:t>第九章  合同的授予</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158005E0">
      <w:pPr>
        <w:spacing w:line="360" w:lineRule="auto"/>
        <w:rPr>
          <w:rFonts w:ascii="黑体" w:hAnsi="黑体" w:eastAsia="黑体" w:cs="黑体"/>
          <w:color w:val="auto"/>
          <w:sz w:val="24"/>
          <w:highlight w:val="none"/>
        </w:rPr>
      </w:pPr>
      <w:bookmarkStart w:id="315" w:name="_33._合同授予标准"/>
      <w:bookmarkEnd w:id="315"/>
      <w:bookmarkStart w:id="316" w:name="_Toc73517679"/>
      <w:bookmarkStart w:id="317" w:name="_Toc73521674"/>
      <w:bookmarkStart w:id="318" w:name="_Toc100052408"/>
      <w:bookmarkStart w:id="319" w:name="_Toc73521586"/>
      <w:bookmarkStart w:id="320" w:name="_Toc73518157"/>
      <w:r>
        <w:rPr>
          <w:rFonts w:hint="eastAsia" w:ascii="黑体" w:hAnsi="黑体" w:eastAsia="黑体" w:cs="黑体"/>
          <w:color w:val="auto"/>
          <w:sz w:val="24"/>
          <w:highlight w:val="none"/>
        </w:rPr>
        <w:t>3</w:t>
      </w:r>
      <w:r>
        <w:rPr>
          <w:rFonts w:hint="eastAsia" w:ascii="黑体" w:hAnsi="黑体" w:eastAsia="黑体" w:cs="黑体"/>
          <w:color w:val="auto"/>
          <w:sz w:val="24"/>
          <w:highlight w:val="none"/>
          <w:lang w:val="en-US" w:eastAsia="zh-CN"/>
        </w:rPr>
        <w:t>4</w:t>
      </w:r>
      <w:r>
        <w:rPr>
          <w:rFonts w:hint="eastAsia" w:ascii="黑体" w:hAnsi="黑体" w:eastAsia="黑体" w:cs="黑体"/>
          <w:color w:val="auto"/>
          <w:sz w:val="24"/>
          <w:highlight w:val="none"/>
        </w:rPr>
        <w:t>．合同授予标准</w:t>
      </w:r>
      <w:bookmarkEnd w:id="316"/>
      <w:bookmarkEnd w:id="317"/>
      <w:bookmarkEnd w:id="318"/>
      <w:bookmarkEnd w:id="319"/>
      <w:bookmarkEnd w:id="320"/>
    </w:p>
    <w:p w14:paraId="41DAFB0B">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3</w:t>
      </w:r>
      <w:r>
        <w:rPr>
          <w:rFonts w:hint="eastAsia" w:ascii="仿宋" w:hAnsi="仿宋" w:eastAsia="仿宋" w:cs="仿宋"/>
          <w:color w:val="auto"/>
          <w:sz w:val="22"/>
          <w:szCs w:val="22"/>
          <w:highlight w:val="none"/>
          <w:lang w:val="en-US" w:eastAsia="zh-CN"/>
        </w:rPr>
        <w:t>4</w:t>
      </w:r>
      <w:r>
        <w:rPr>
          <w:rFonts w:hint="eastAsia" w:ascii="仿宋" w:hAnsi="仿宋" w:eastAsia="仿宋" w:cs="仿宋"/>
          <w:color w:val="auto"/>
          <w:sz w:val="22"/>
          <w:szCs w:val="22"/>
          <w:highlight w:val="none"/>
        </w:rPr>
        <w:t>.1 本项目的合同将授予按本通用条款第七章所确定的中标人。</w:t>
      </w:r>
    </w:p>
    <w:p w14:paraId="11EE1178">
      <w:pPr>
        <w:spacing w:line="360" w:lineRule="auto"/>
        <w:rPr>
          <w:rFonts w:ascii="黑体" w:hAnsi="黑体" w:eastAsia="黑体" w:cs="黑体"/>
          <w:color w:val="auto"/>
          <w:sz w:val="24"/>
          <w:highlight w:val="none"/>
        </w:rPr>
      </w:pPr>
      <w:bookmarkStart w:id="321" w:name="_Toc73521675"/>
      <w:bookmarkStart w:id="322" w:name="_Toc73517680"/>
      <w:bookmarkStart w:id="323" w:name="_Toc100052409"/>
      <w:bookmarkStart w:id="324" w:name="_Toc73518158"/>
      <w:bookmarkStart w:id="325" w:name="_Toc73521587"/>
      <w:r>
        <w:rPr>
          <w:rFonts w:hint="eastAsia" w:ascii="黑体" w:hAnsi="黑体" w:eastAsia="黑体" w:cs="黑体"/>
          <w:color w:val="auto"/>
          <w:sz w:val="24"/>
          <w:highlight w:val="none"/>
        </w:rPr>
        <w:t>3</w:t>
      </w:r>
      <w:r>
        <w:rPr>
          <w:rFonts w:hint="eastAsia" w:ascii="黑体" w:hAnsi="黑体" w:eastAsia="黑体" w:cs="黑体"/>
          <w:color w:val="auto"/>
          <w:sz w:val="24"/>
          <w:highlight w:val="none"/>
          <w:lang w:val="en-US" w:eastAsia="zh-CN"/>
        </w:rPr>
        <w:t>5</w:t>
      </w:r>
      <w:r>
        <w:rPr>
          <w:rFonts w:hint="eastAsia" w:ascii="黑体" w:hAnsi="黑体" w:eastAsia="黑体" w:cs="黑体"/>
          <w:color w:val="auto"/>
          <w:sz w:val="24"/>
          <w:highlight w:val="none"/>
        </w:rPr>
        <w:t>．</w:t>
      </w:r>
      <w:bookmarkEnd w:id="321"/>
      <w:bookmarkEnd w:id="322"/>
      <w:bookmarkEnd w:id="323"/>
      <w:bookmarkEnd w:id="324"/>
      <w:bookmarkEnd w:id="325"/>
      <w:r>
        <w:rPr>
          <w:rFonts w:hint="eastAsia" w:ascii="黑体" w:hAnsi="黑体" w:eastAsia="黑体" w:cs="黑体"/>
          <w:color w:val="auto"/>
          <w:sz w:val="24"/>
          <w:highlight w:val="none"/>
        </w:rPr>
        <w:t>接受和拒绝任何或所有投标的权力</w:t>
      </w:r>
    </w:p>
    <w:p w14:paraId="1DA7B5E5">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3</w:t>
      </w:r>
      <w:r>
        <w:rPr>
          <w:rFonts w:hint="eastAsia" w:ascii="仿宋" w:hAnsi="仿宋" w:eastAsia="仿宋" w:cs="仿宋"/>
          <w:color w:val="auto"/>
          <w:sz w:val="22"/>
          <w:szCs w:val="22"/>
          <w:highlight w:val="none"/>
          <w:lang w:val="en-US" w:eastAsia="zh-CN"/>
        </w:rPr>
        <w:t>5</w:t>
      </w:r>
      <w:r>
        <w:rPr>
          <w:rFonts w:hint="eastAsia" w:ascii="仿宋" w:hAnsi="仿宋" w:eastAsia="仿宋" w:cs="仿宋"/>
          <w:color w:val="auto"/>
          <w:sz w:val="22"/>
          <w:szCs w:val="22"/>
          <w:highlight w:val="none"/>
        </w:rPr>
        <w:t xml:space="preserve">.1 </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机构和</w:t>
      </w:r>
      <w:r>
        <w:rPr>
          <w:rFonts w:hint="eastAsia" w:ascii="仿宋" w:hAnsi="仿宋" w:eastAsia="仿宋" w:cs="仿宋"/>
          <w:color w:val="auto"/>
          <w:sz w:val="22"/>
          <w:szCs w:val="22"/>
          <w:highlight w:val="none"/>
          <w:lang w:val="en-US" w:eastAsia="zh-CN"/>
        </w:rPr>
        <w:t>招标人</w:t>
      </w:r>
      <w:r>
        <w:rPr>
          <w:rFonts w:hint="eastAsia" w:ascii="仿宋" w:hAnsi="仿宋" w:eastAsia="仿宋" w:cs="仿宋"/>
          <w:color w:val="auto"/>
          <w:sz w:val="22"/>
          <w:szCs w:val="22"/>
          <w:highlight w:val="none"/>
        </w:rPr>
        <w:t>保留在投标之前任何时候接受或拒绝任何投标或所有投标，以及宣布招标无效的权力，对受影响的投标人不承担任何责任，也无义务向受影响的投标人解释采取这一行动的理由。</w:t>
      </w:r>
    </w:p>
    <w:p w14:paraId="65634448">
      <w:pPr>
        <w:spacing w:line="360" w:lineRule="auto"/>
        <w:rPr>
          <w:rFonts w:ascii="黑体" w:hAnsi="黑体" w:eastAsia="黑体" w:cs="黑体"/>
          <w:color w:val="auto"/>
          <w:sz w:val="24"/>
          <w:highlight w:val="none"/>
        </w:rPr>
      </w:pPr>
      <w:bookmarkStart w:id="326" w:name="_Toc73517682"/>
      <w:bookmarkStart w:id="327" w:name="_Toc100052410"/>
      <w:bookmarkStart w:id="328" w:name="_Toc73521589"/>
      <w:bookmarkStart w:id="329" w:name="_Toc73518160"/>
      <w:bookmarkStart w:id="330" w:name="_Toc73521677"/>
      <w:r>
        <w:rPr>
          <w:rFonts w:hint="eastAsia" w:ascii="黑体" w:hAnsi="黑体" w:eastAsia="黑体" w:cs="黑体"/>
          <w:color w:val="auto"/>
          <w:sz w:val="24"/>
          <w:highlight w:val="none"/>
        </w:rPr>
        <w:t>3</w:t>
      </w:r>
      <w:r>
        <w:rPr>
          <w:rFonts w:hint="eastAsia" w:ascii="黑体" w:hAnsi="黑体" w:eastAsia="黑体" w:cs="黑体"/>
          <w:color w:val="auto"/>
          <w:sz w:val="24"/>
          <w:highlight w:val="none"/>
          <w:lang w:val="en-US" w:eastAsia="zh-CN"/>
        </w:rPr>
        <w:t>6</w:t>
      </w:r>
      <w:r>
        <w:rPr>
          <w:rFonts w:hint="eastAsia" w:ascii="黑体" w:hAnsi="黑体" w:eastAsia="黑体" w:cs="黑体"/>
          <w:color w:val="auto"/>
          <w:sz w:val="24"/>
          <w:highlight w:val="none"/>
        </w:rPr>
        <w:t>．合同协议书的签订</w:t>
      </w:r>
      <w:bookmarkEnd w:id="326"/>
      <w:bookmarkEnd w:id="327"/>
      <w:bookmarkEnd w:id="328"/>
      <w:bookmarkEnd w:id="329"/>
      <w:bookmarkEnd w:id="330"/>
    </w:p>
    <w:p w14:paraId="3915E35A">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3</w:t>
      </w:r>
      <w:r>
        <w:rPr>
          <w:rFonts w:hint="eastAsia" w:ascii="仿宋" w:hAnsi="仿宋" w:eastAsia="仿宋" w:cs="仿宋"/>
          <w:color w:val="auto"/>
          <w:sz w:val="22"/>
          <w:szCs w:val="22"/>
          <w:highlight w:val="none"/>
          <w:lang w:val="en-US" w:eastAsia="zh-CN"/>
        </w:rPr>
        <w:t>6</w:t>
      </w:r>
      <w:r>
        <w:rPr>
          <w:rFonts w:hint="eastAsia" w:ascii="仿宋" w:hAnsi="仿宋" w:eastAsia="仿宋" w:cs="仿宋"/>
          <w:color w:val="auto"/>
          <w:sz w:val="22"/>
          <w:szCs w:val="22"/>
          <w:highlight w:val="none"/>
        </w:rPr>
        <w:t>.1 中标人将于中标通知书发出之日起</w:t>
      </w:r>
      <w:r>
        <w:rPr>
          <w:rFonts w:hint="eastAsia" w:ascii="仿宋" w:hAnsi="仿宋" w:eastAsia="仿宋" w:cs="仿宋"/>
          <w:color w:val="auto"/>
          <w:sz w:val="22"/>
          <w:szCs w:val="22"/>
          <w:highlight w:val="none"/>
          <w:u w:val="single"/>
        </w:rPr>
        <w:t xml:space="preserve"> </w:t>
      </w:r>
      <w:r>
        <w:rPr>
          <w:rFonts w:ascii="仿宋" w:hAnsi="仿宋" w:eastAsia="仿宋" w:cs="仿宋"/>
          <w:color w:val="auto"/>
          <w:sz w:val="22"/>
          <w:szCs w:val="22"/>
          <w:highlight w:val="none"/>
          <w:u w:val="single"/>
        </w:rPr>
        <w:t>10</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个工作日内，按照招标文件和投标文件内容与</w:t>
      </w:r>
      <w:r>
        <w:rPr>
          <w:rFonts w:hint="eastAsia" w:ascii="仿宋" w:hAnsi="仿宋" w:eastAsia="仿宋" w:cs="仿宋"/>
          <w:color w:val="auto"/>
          <w:sz w:val="22"/>
          <w:szCs w:val="22"/>
          <w:highlight w:val="none"/>
          <w:lang w:eastAsia="zh-CN"/>
        </w:rPr>
        <w:t>招标人</w:t>
      </w:r>
      <w:r>
        <w:rPr>
          <w:rFonts w:hint="eastAsia" w:ascii="仿宋" w:hAnsi="仿宋" w:eastAsia="仿宋" w:cs="仿宋"/>
          <w:color w:val="auto"/>
          <w:sz w:val="22"/>
          <w:szCs w:val="22"/>
          <w:highlight w:val="none"/>
        </w:rPr>
        <w:t>签订书面合同，合同书可参考本招标文件第二册第四章规定的合同样本；</w:t>
      </w:r>
    </w:p>
    <w:p w14:paraId="46827E49">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3</w:t>
      </w:r>
      <w:r>
        <w:rPr>
          <w:rFonts w:hint="eastAsia" w:ascii="仿宋" w:hAnsi="仿宋" w:eastAsia="仿宋" w:cs="仿宋"/>
          <w:color w:val="auto"/>
          <w:sz w:val="22"/>
          <w:szCs w:val="22"/>
          <w:highlight w:val="none"/>
          <w:lang w:val="en-US" w:eastAsia="zh-CN"/>
        </w:rPr>
        <w:t>6</w:t>
      </w:r>
      <w:r>
        <w:rPr>
          <w:rFonts w:hint="eastAsia" w:ascii="仿宋" w:hAnsi="仿宋" w:eastAsia="仿宋" w:cs="仿宋"/>
          <w:color w:val="auto"/>
          <w:sz w:val="22"/>
          <w:szCs w:val="22"/>
          <w:highlight w:val="none"/>
        </w:rPr>
        <w:t>.2 中标人如不按本通用条款第38.1款的规定与</w:t>
      </w:r>
      <w:r>
        <w:rPr>
          <w:rFonts w:hint="eastAsia" w:ascii="仿宋" w:hAnsi="仿宋" w:eastAsia="仿宋" w:cs="仿宋"/>
          <w:color w:val="auto"/>
          <w:sz w:val="22"/>
          <w:szCs w:val="22"/>
          <w:highlight w:val="none"/>
          <w:lang w:eastAsia="zh-CN"/>
        </w:rPr>
        <w:t>招标人</w:t>
      </w:r>
      <w:r>
        <w:rPr>
          <w:rFonts w:hint="eastAsia" w:ascii="仿宋" w:hAnsi="仿宋" w:eastAsia="仿宋" w:cs="仿宋"/>
          <w:color w:val="auto"/>
          <w:sz w:val="22"/>
          <w:szCs w:val="22"/>
          <w:highlight w:val="none"/>
        </w:rPr>
        <w:t>签订合同，给</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机构造成的损失的，还应当予以赔偿，同时承担相应法律责任；</w:t>
      </w:r>
    </w:p>
    <w:p w14:paraId="05E47B3C">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3</w:t>
      </w:r>
      <w:r>
        <w:rPr>
          <w:rFonts w:hint="eastAsia" w:ascii="仿宋" w:hAnsi="仿宋" w:eastAsia="仿宋" w:cs="仿宋"/>
          <w:color w:val="auto"/>
          <w:sz w:val="22"/>
          <w:szCs w:val="22"/>
          <w:highlight w:val="none"/>
          <w:lang w:val="en-US" w:eastAsia="zh-CN"/>
        </w:rPr>
        <w:t>6</w:t>
      </w:r>
      <w:r>
        <w:rPr>
          <w:rFonts w:hint="eastAsia" w:ascii="仿宋" w:hAnsi="仿宋" w:eastAsia="仿宋" w:cs="仿宋"/>
          <w:color w:val="auto"/>
          <w:sz w:val="22"/>
          <w:szCs w:val="22"/>
          <w:highlight w:val="none"/>
        </w:rPr>
        <w:t>.3 中标人应当按照合同约定履行义务，完成中标项目，未经</w:t>
      </w:r>
      <w:r>
        <w:rPr>
          <w:rFonts w:hint="eastAsia" w:ascii="仿宋" w:hAnsi="仿宋" w:eastAsia="仿宋" w:cs="仿宋"/>
          <w:color w:val="auto"/>
          <w:sz w:val="22"/>
          <w:szCs w:val="22"/>
          <w:highlight w:val="none"/>
          <w:lang w:eastAsia="zh-CN"/>
        </w:rPr>
        <w:t>招标人</w:t>
      </w:r>
      <w:r>
        <w:rPr>
          <w:rFonts w:hint="eastAsia" w:ascii="仿宋" w:hAnsi="仿宋" w:eastAsia="仿宋" w:cs="仿宋"/>
          <w:color w:val="auto"/>
          <w:sz w:val="22"/>
          <w:szCs w:val="22"/>
          <w:highlight w:val="none"/>
        </w:rPr>
        <w:t>及监管部门许可不得将中标项目转让（转包）给他人；</w:t>
      </w:r>
    </w:p>
    <w:p w14:paraId="3463197D">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3</w:t>
      </w:r>
      <w:r>
        <w:rPr>
          <w:rFonts w:hint="eastAsia" w:ascii="仿宋" w:hAnsi="仿宋" w:eastAsia="仿宋" w:cs="仿宋"/>
          <w:color w:val="auto"/>
          <w:sz w:val="22"/>
          <w:szCs w:val="22"/>
          <w:highlight w:val="none"/>
          <w:lang w:val="en-US" w:eastAsia="zh-CN"/>
        </w:rPr>
        <w:t>6</w:t>
      </w:r>
      <w:r>
        <w:rPr>
          <w:rFonts w:hint="eastAsia" w:ascii="仿宋" w:hAnsi="仿宋" w:eastAsia="仿宋" w:cs="仿宋"/>
          <w:color w:val="auto"/>
          <w:sz w:val="22"/>
          <w:szCs w:val="22"/>
          <w:highlight w:val="none"/>
        </w:rPr>
        <w:t xml:space="preserve">.4 </w:t>
      </w:r>
      <w:r>
        <w:rPr>
          <w:rFonts w:hint="eastAsia" w:ascii="仿宋" w:hAnsi="仿宋" w:eastAsia="仿宋" w:cs="仿宋"/>
          <w:color w:val="auto"/>
          <w:sz w:val="22"/>
          <w:szCs w:val="22"/>
          <w:highlight w:val="none"/>
          <w:lang w:eastAsia="zh-CN"/>
        </w:rPr>
        <w:t>招标人</w:t>
      </w:r>
      <w:r>
        <w:rPr>
          <w:rFonts w:hint="eastAsia" w:ascii="仿宋" w:hAnsi="仿宋" w:eastAsia="仿宋" w:cs="仿宋"/>
          <w:color w:val="auto"/>
          <w:sz w:val="22"/>
          <w:szCs w:val="22"/>
          <w:highlight w:val="none"/>
        </w:rPr>
        <w:t>与中标人签订的合同必须遵守本招标文件的合同条件，并且不得更改合同条件。</w:t>
      </w:r>
    </w:p>
    <w:p w14:paraId="1B16EAC0">
      <w:pPr>
        <w:spacing w:line="360" w:lineRule="auto"/>
        <w:rPr>
          <w:rFonts w:ascii="黑体" w:hAnsi="黑体" w:eastAsia="黑体" w:cs="黑体"/>
          <w:color w:val="auto"/>
          <w:sz w:val="24"/>
          <w:highlight w:val="none"/>
        </w:rPr>
      </w:pPr>
      <w:bookmarkStart w:id="331" w:name="_Toc73521590"/>
      <w:bookmarkStart w:id="332" w:name="_Toc73518161"/>
      <w:bookmarkStart w:id="333" w:name="_Toc73517683"/>
      <w:bookmarkStart w:id="334" w:name="_Toc100052411"/>
      <w:bookmarkStart w:id="335" w:name="_Toc73521678"/>
      <w:r>
        <w:rPr>
          <w:rFonts w:hint="eastAsia" w:ascii="黑体" w:hAnsi="黑体" w:eastAsia="黑体" w:cs="黑体"/>
          <w:color w:val="auto"/>
          <w:sz w:val="24"/>
          <w:highlight w:val="none"/>
        </w:rPr>
        <w:t>3</w:t>
      </w:r>
      <w:r>
        <w:rPr>
          <w:rFonts w:hint="eastAsia" w:ascii="黑体" w:hAnsi="黑体" w:eastAsia="黑体" w:cs="黑体"/>
          <w:color w:val="auto"/>
          <w:sz w:val="24"/>
          <w:highlight w:val="none"/>
          <w:lang w:val="en-US" w:eastAsia="zh-CN"/>
        </w:rPr>
        <w:t>7</w:t>
      </w:r>
      <w:r>
        <w:rPr>
          <w:rFonts w:hint="eastAsia" w:ascii="黑体" w:hAnsi="黑体" w:eastAsia="黑体" w:cs="黑体"/>
          <w:color w:val="auto"/>
          <w:sz w:val="24"/>
          <w:highlight w:val="none"/>
        </w:rPr>
        <w:t>．履约担保</w:t>
      </w:r>
      <w:bookmarkEnd w:id="331"/>
      <w:bookmarkEnd w:id="332"/>
      <w:bookmarkEnd w:id="333"/>
      <w:bookmarkEnd w:id="334"/>
      <w:bookmarkEnd w:id="335"/>
    </w:p>
    <w:p w14:paraId="04348CBD">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3</w:t>
      </w:r>
      <w:r>
        <w:rPr>
          <w:rFonts w:hint="eastAsia" w:ascii="仿宋" w:hAnsi="仿宋" w:eastAsia="仿宋" w:cs="仿宋"/>
          <w:color w:val="auto"/>
          <w:sz w:val="22"/>
          <w:szCs w:val="22"/>
          <w:highlight w:val="none"/>
          <w:lang w:val="en-US" w:eastAsia="zh-CN"/>
        </w:rPr>
        <w:t>7</w:t>
      </w:r>
      <w:r>
        <w:rPr>
          <w:rFonts w:hint="eastAsia" w:ascii="仿宋" w:hAnsi="仿宋" w:eastAsia="仿宋" w:cs="仿宋"/>
          <w:color w:val="auto"/>
          <w:sz w:val="22"/>
          <w:szCs w:val="22"/>
          <w:highlight w:val="none"/>
        </w:rPr>
        <w:t>.1 在签订项目承包合同的同时，中标人应按投标须知前附表第19项规定的金额向</w:t>
      </w:r>
      <w:r>
        <w:rPr>
          <w:rFonts w:hint="eastAsia" w:ascii="仿宋" w:hAnsi="仿宋" w:eastAsia="仿宋" w:cs="仿宋"/>
          <w:color w:val="auto"/>
          <w:sz w:val="22"/>
          <w:szCs w:val="22"/>
          <w:highlight w:val="none"/>
          <w:lang w:eastAsia="zh-CN"/>
        </w:rPr>
        <w:t>招标人</w:t>
      </w:r>
      <w:r>
        <w:rPr>
          <w:rFonts w:hint="eastAsia" w:ascii="仿宋" w:hAnsi="仿宋" w:eastAsia="仿宋" w:cs="仿宋"/>
          <w:color w:val="auto"/>
          <w:sz w:val="22"/>
          <w:szCs w:val="22"/>
          <w:highlight w:val="none"/>
        </w:rPr>
        <w:t>提交履约保证金；</w:t>
      </w:r>
    </w:p>
    <w:p w14:paraId="66CE3F76">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3</w:t>
      </w:r>
      <w:r>
        <w:rPr>
          <w:rFonts w:hint="eastAsia" w:ascii="仿宋" w:hAnsi="仿宋" w:eastAsia="仿宋" w:cs="仿宋"/>
          <w:color w:val="auto"/>
          <w:sz w:val="22"/>
          <w:szCs w:val="22"/>
          <w:highlight w:val="none"/>
          <w:lang w:val="en-US" w:eastAsia="zh-CN"/>
        </w:rPr>
        <w:t>7</w:t>
      </w:r>
      <w:r>
        <w:rPr>
          <w:rFonts w:hint="eastAsia" w:ascii="仿宋" w:hAnsi="仿宋" w:eastAsia="仿宋" w:cs="仿宋"/>
          <w:color w:val="auto"/>
          <w:sz w:val="22"/>
          <w:szCs w:val="22"/>
          <w:highlight w:val="none"/>
        </w:rPr>
        <w:t>.2 如果中标人不能按本通用条款第3</w:t>
      </w:r>
      <w:r>
        <w:rPr>
          <w:rFonts w:hint="eastAsia" w:ascii="仿宋" w:hAnsi="仿宋" w:eastAsia="仿宋" w:cs="仿宋"/>
          <w:color w:val="auto"/>
          <w:sz w:val="22"/>
          <w:szCs w:val="22"/>
          <w:highlight w:val="none"/>
          <w:lang w:val="en-US" w:eastAsia="zh-CN"/>
        </w:rPr>
        <w:t>7</w:t>
      </w:r>
      <w:r>
        <w:rPr>
          <w:rFonts w:hint="eastAsia" w:ascii="仿宋" w:hAnsi="仿宋" w:eastAsia="仿宋" w:cs="仿宋"/>
          <w:color w:val="auto"/>
          <w:sz w:val="22"/>
          <w:szCs w:val="22"/>
          <w:highlight w:val="none"/>
        </w:rPr>
        <w:t>.1款的规</w:t>
      </w:r>
      <w:r>
        <w:rPr>
          <w:rFonts w:hint="eastAsia" w:ascii="仿宋" w:hAnsi="仿宋" w:eastAsia="仿宋" w:cs="仿宋"/>
          <w:color w:val="auto"/>
          <w:sz w:val="22"/>
          <w:szCs w:val="28"/>
          <w:highlight w:val="none"/>
        </w:rPr>
        <w:t>定执行，</w:t>
      </w:r>
      <w:r>
        <w:rPr>
          <w:rFonts w:hint="eastAsia" w:ascii="仿宋" w:hAnsi="仿宋" w:eastAsia="仿宋" w:cs="仿宋"/>
          <w:color w:val="auto"/>
          <w:sz w:val="22"/>
          <w:szCs w:val="28"/>
          <w:highlight w:val="none"/>
          <w:lang w:eastAsia="zh-CN"/>
        </w:rPr>
        <w:t>招标人</w:t>
      </w:r>
      <w:r>
        <w:rPr>
          <w:rFonts w:hint="eastAsia" w:ascii="仿宋" w:hAnsi="仿宋" w:eastAsia="仿宋" w:cs="仿宋"/>
          <w:color w:val="auto"/>
          <w:sz w:val="22"/>
          <w:szCs w:val="28"/>
          <w:highlight w:val="none"/>
        </w:rPr>
        <w:t>将有充分的理由通过监督管理部门废除中标，给</w:t>
      </w:r>
      <w:r>
        <w:rPr>
          <w:rFonts w:hint="eastAsia" w:ascii="仿宋" w:hAnsi="仿宋" w:eastAsia="仿宋" w:cs="仿宋"/>
          <w:color w:val="auto"/>
          <w:sz w:val="22"/>
          <w:szCs w:val="28"/>
          <w:highlight w:val="none"/>
          <w:lang w:eastAsia="zh-CN"/>
        </w:rPr>
        <w:t>招标人</w:t>
      </w:r>
      <w:r>
        <w:rPr>
          <w:rFonts w:hint="eastAsia" w:ascii="仿宋" w:hAnsi="仿宋" w:eastAsia="仿宋" w:cs="仿宋"/>
          <w:color w:val="auto"/>
          <w:sz w:val="22"/>
          <w:szCs w:val="28"/>
          <w:highlight w:val="none"/>
        </w:rPr>
        <w:t>造成</w:t>
      </w:r>
      <w:r>
        <w:rPr>
          <w:rFonts w:hint="eastAsia" w:ascii="仿宋" w:hAnsi="仿宋" w:eastAsia="仿宋" w:cs="仿宋"/>
          <w:color w:val="auto"/>
          <w:sz w:val="22"/>
          <w:szCs w:val="28"/>
          <w:highlight w:val="none"/>
          <w:lang w:val="en-US" w:eastAsia="zh-CN"/>
        </w:rPr>
        <w:t>损失</w:t>
      </w:r>
      <w:r>
        <w:rPr>
          <w:rFonts w:hint="eastAsia" w:ascii="仿宋" w:hAnsi="仿宋" w:eastAsia="仿宋" w:cs="仿宋"/>
          <w:color w:val="auto"/>
          <w:sz w:val="22"/>
          <w:szCs w:val="22"/>
          <w:highlight w:val="none"/>
        </w:rPr>
        <w:t>的还应当予以赔偿；</w:t>
      </w:r>
    </w:p>
    <w:p w14:paraId="61B074F8">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3</w:t>
      </w:r>
      <w:r>
        <w:rPr>
          <w:rFonts w:hint="eastAsia" w:ascii="仿宋" w:hAnsi="仿宋" w:eastAsia="仿宋" w:cs="仿宋"/>
          <w:color w:val="auto"/>
          <w:sz w:val="22"/>
          <w:szCs w:val="22"/>
          <w:highlight w:val="none"/>
          <w:lang w:val="en-US" w:eastAsia="zh-CN"/>
        </w:rPr>
        <w:t>7</w:t>
      </w:r>
      <w:r>
        <w:rPr>
          <w:rFonts w:hint="eastAsia" w:ascii="仿宋" w:hAnsi="仿宋" w:eastAsia="仿宋" w:cs="仿宋"/>
          <w:color w:val="auto"/>
          <w:sz w:val="22"/>
          <w:szCs w:val="22"/>
          <w:highlight w:val="none"/>
        </w:rPr>
        <w:t>.3 项目结束之后，经验收合格，</w:t>
      </w:r>
      <w:r>
        <w:rPr>
          <w:rFonts w:hint="eastAsia" w:ascii="仿宋" w:hAnsi="仿宋" w:eastAsia="仿宋" w:cs="仿宋"/>
          <w:color w:val="auto"/>
          <w:sz w:val="22"/>
          <w:szCs w:val="22"/>
          <w:highlight w:val="none"/>
          <w:lang w:eastAsia="zh-CN"/>
        </w:rPr>
        <w:t>合同期满后10个工作日内，招标人不计利息一次性退还履约保证金给中标人。中标人未按合同约定履行合同或违约等导致合同被解除的，履约保证金将不予退还。</w:t>
      </w:r>
    </w:p>
    <w:p w14:paraId="3EE1C567">
      <w:pPr>
        <w:spacing w:line="360" w:lineRule="auto"/>
        <w:rPr>
          <w:rFonts w:ascii="黑体" w:hAnsi="黑体" w:eastAsia="黑体" w:cs="黑体"/>
          <w:color w:val="auto"/>
          <w:sz w:val="24"/>
          <w:highlight w:val="none"/>
        </w:rPr>
      </w:pPr>
      <w:r>
        <w:rPr>
          <w:rFonts w:hint="eastAsia" w:ascii="黑体" w:hAnsi="黑体" w:eastAsia="黑体" w:cs="黑体"/>
          <w:color w:val="auto"/>
          <w:sz w:val="24"/>
          <w:highlight w:val="none"/>
          <w:lang w:val="en-US" w:eastAsia="zh-CN"/>
        </w:rPr>
        <w:t>38</w:t>
      </w:r>
      <w:r>
        <w:rPr>
          <w:rFonts w:hint="eastAsia" w:ascii="黑体" w:hAnsi="黑体" w:eastAsia="黑体" w:cs="黑体"/>
          <w:color w:val="auto"/>
          <w:sz w:val="24"/>
          <w:highlight w:val="none"/>
        </w:rPr>
        <w:t>．招标代理服务费</w:t>
      </w:r>
    </w:p>
    <w:p w14:paraId="528C3D14">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38</w:t>
      </w:r>
      <w:r>
        <w:rPr>
          <w:rFonts w:hint="eastAsia" w:ascii="仿宋" w:hAnsi="仿宋" w:eastAsia="仿宋" w:cs="仿宋"/>
          <w:color w:val="auto"/>
          <w:sz w:val="22"/>
          <w:szCs w:val="22"/>
          <w:highlight w:val="none"/>
        </w:rPr>
        <w:t>.1</w:t>
      </w:r>
      <w:r>
        <w:rPr>
          <w:rFonts w:ascii="仿宋" w:hAnsi="仿宋" w:eastAsia="仿宋" w:cs="仿宋"/>
          <w:color w:val="auto"/>
          <w:sz w:val="22"/>
          <w:szCs w:val="22"/>
          <w:highlight w:val="none"/>
        </w:rPr>
        <w:t>招标代理服务费</w:t>
      </w:r>
      <w:r>
        <w:rPr>
          <w:rFonts w:hint="eastAsia" w:ascii="仿宋" w:hAnsi="仿宋" w:eastAsia="仿宋" w:cs="仿宋"/>
          <w:color w:val="auto"/>
          <w:sz w:val="22"/>
          <w:szCs w:val="22"/>
          <w:highlight w:val="none"/>
        </w:rPr>
        <w:t>按以下要求支付：</w:t>
      </w:r>
    </w:p>
    <w:p w14:paraId="17491EF6">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招标代理服务费为：</w:t>
      </w:r>
      <w:r>
        <w:rPr>
          <w:rFonts w:hint="eastAsia" w:ascii="仿宋" w:hAnsi="仿宋" w:eastAsia="仿宋" w:cs="仿宋"/>
          <w:sz w:val="22"/>
          <w:szCs w:val="22"/>
          <w:highlight w:val="none"/>
        </w:rPr>
        <w:t>人民币</w:t>
      </w:r>
      <w:r>
        <w:rPr>
          <w:rFonts w:hint="eastAsia" w:ascii="仿宋" w:hAnsi="仿宋" w:eastAsia="仿宋" w:cs="仿宋"/>
          <w:sz w:val="22"/>
          <w:szCs w:val="22"/>
          <w:highlight w:val="none"/>
          <w:lang w:val="en-US" w:eastAsia="zh-CN"/>
        </w:rPr>
        <w:t>肆万元整</w:t>
      </w:r>
      <w:r>
        <w:rPr>
          <w:rFonts w:hint="eastAsia" w:ascii="仿宋" w:hAnsi="仿宋" w:eastAsia="仿宋" w:cs="仿宋"/>
          <w:sz w:val="22"/>
          <w:szCs w:val="22"/>
          <w:highlight w:val="none"/>
        </w:rPr>
        <w:t>，由</w:t>
      </w:r>
      <w:r>
        <w:rPr>
          <w:rFonts w:hint="eastAsia" w:ascii="仿宋" w:hAnsi="仿宋" w:eastAsia="仿宋" w:cs="仿宋"/>
          <w:sz w:val="22"/>
          <w:szCs w:val="22"/>
          <w:highlight w:val="none"/>
          <w:lang w:val="en-US" w:eastAsia="zh-CN"/>
        </w:rPr>
        <w:t>二</w:t>
      </w:r>
      <w:r>
        <w:rPr>
          <w:rFonts w:hint="eastAsia" w:ascii="仿宋" w:hAnsi="仿宋" w:eastAsia="仿宋" w:cs="仿宋"/>
          <w:sz w:val="22"/>
          <w:szCs w:val="22"/>
          <w:highlight w:val="none"/>
        </w:rPr>
        <w:t>家中标</w:t>
      </w:r>
      <w:r>
        <w:rPr>
          <w:rFonts w:hint="eastAsia" w:ascii="仿宋" w:hAnsi="仿宋" w:eastAsia="仿宋" w:cs="仿宋"/>
          <w:sz w:val="22"/>
          <w:szCs w:val="22"/>
          <w:highlight w:val="none"/>
          <w:lang w:eastAsia="zh-CN"/>
        </w:rPr>
        <w:t>人</w:t>
      </w:r>
      <w:r>
        <w:rPr>
          <w:rFonts w:hint="eastAsia" w:ascii="仿宋" w:hAnsi="仿宋" w:eastAsia="仿宋" w:cs="仿宋"/>
          <w:sz w:val="22"/>
          <w:szCs w:val="22"/>
          <w:highlight w:val="none"/>
        </w:rPr>
        <w:t>平均分摊支付，每家</w:t>
      </w:r>
      <w:r>
        <w:rPr>
          <w:rFonts w:hint="eastAsia" w:ascii="仿宋" w:hAnsi="仿宋" w:eastAsia="仿宋" w:cs="仿宋"/>
          <w:sz w:val="22"/>
          <w:szCs w:val="22"/>
          <w:highlight w:val="none"/>
          <w:lang w:val="en-US" w:eastAsia="zh-CN"/>
        </w:rPr>
        <w:t>贰</w:t>
      </w:r>
      <w:r>
        <w:rPr>
          <w:rFonts w:hint="eastAsia" w:ascii="仿宋" w:hAnsi="仿宋" w:eastAsia="仿宋" w:cs="仿宋"/>
          <w:sz w:val="22"/>
          <w:szCs w:val="22"/>
          <w:highlight w:val="none"/>
        </w:rPr>
        <w:t>万元整</w:t>
      </w:r>
      <w:r>
        <w:rPr>
          <w:rFonts w:hint="eastAsia" w:ascii="仿宋" w:hAnsi="仿宋" w:eastAsia="仿宋" w:cs="仿宋"/>
          <w:color w:val="auto"/>
          <w:sz w:val="22"/>
          <w:szCs w:val="22"/>
          <w:highlight w:val="none"/>
        </w:rPr>
        <w:t>。</w:t>
      </w:r>
    </w:p>
    <w:p w14:paraId="06C907BC">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38</w:t>
      </w:r>
      <w:r>
        <w:rPr>
          <w:rFonts w:hint="eastAsia" w:ascii="仿宋" w:hAnsi="仿宋" w:eastAsia="仿宋" w:cs="仿宋"/>
          <w:color w:val="auto"/>
          <w:sz w:val="22"/>
          <w:szCs w:val="22"/>
          <w:highlight w:val="none"/>
        </w:rPr>
        <w:t>.2 中标人须在中标公告公示期结束后，领取《中标通知书》前，向招标代理机构缴纳招标代理服务费。</w:t>
      </w:r>
    </w:p>
    <w:p w14:paraId="5BD3F140">
      <w:pPr>
        <w:spacing w:line="360" w:lineRule="auto"/>
        <w:ind w:left="420" w:left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38</w:t>
      </w:r>
      <w:r>
        <w:rPr>
          <w:rFonts w:hint="eastAsia" w:ascii="仿宋" w:hAnsi="仿宋" w:eastAsia="仿宋" w:cs="仿宋"/>
          <w:color w:val="auto"/>
          <w:sz w:val="22"/>
          <w:szCs w:val="22"/>
          <w:highlight w:val="none"/>
        </w:rPr>
        <w:t>.3 招标代理服务费以转账形式支付。</w:t>
      </w:r>
    </w:p>
    <w:p w14:paraId="3185CD6F">
      <w:pPr>
        <w:spacing w:line="360" w:lineRule="auto"/>
        <w:rPr>
          <w:rFonts w:ascii="黑体" w:hAnsi="黑体" w:eastAsia="黑体" w:cs="黑体"/>
          <w:color w:val="auto"/>
          <w:sz w:val="24"/>
          <w:highlight w:val="none"/>
        </w:rPr>
      </w:pPr>
      <w:r>
        <w:rPr>
          <w:rFonts w:hint="eastAsia" w:ascii="黑体" w:hAnsi="黑体" w:eastAsia="黑体" w:cs="黑体"/>
          <w:color w:val="auto"/>
          <w:sz w:val="24"/>
          <w:highlight w:val="none"/>
          <w:lang w:val="en-US" w:eastAsia="zh-CN"/>
        </w:rPr>
        <w:t>39</w:t>
      </w:r>
      <w:r>
        <w:rPr>
          <w:rFonts w:hint="eastAsia" w:ascii="黑体" w:hAnsi="黑体" w:eastAsia="黑体" w:cs="黑体"/>
          <w:color w:val="auto"/>
          <w:sz w:val="24"/>
          <w:highlight w:val="none"/>
        </w:rPr>
        <w:t>．项目质疑受理程序</w:t>
      </w:r>
    </w:p>
    <w:p w14:paraId="0035FEC6">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39</w:t>
      </w:r>
      <w:r>
        <w:rPr>
          <w:rFonts w:hint="eastAsia" w:ascii="仿宋" w:hAnsi="仿宋" w:eastAsia="仿宋" w:cs="仿宋"/>
          <w:color w:val="auto"/>
          <w:sz w:val="22"/>
          <w:szCs w:val="22"/>
          <w:highlight w:val="none"/>
        </w:rPr>
        <w:t>.1 质疑投诉人应保证质疑投诉内容的真实性和可靠性，并承担相应的法律责任。</w:t>
      </w:r>
    </w:p>
    <w:p w14:paraId="0328C011">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39</w:t>
      </w:r>
      <w:r>
        <w:rPr>
          <w:rFonts w:hint="eastAsia" w:ascii="仿宋" w:hAnsi="仿宋" w:eastAsia="仿宋" w:cs="仿宋"/>
          <w:color w:val="auto"/>
          <w:sz w:val="22"/>
          <w:szCs w:val="22"/>
          <w:highlight w:val="none"/>
        </w:rPr>
        <w:t>.2 项目质疑受理程序：</w:t>
      </w:r>
    </w:p>
    <w:p w14:paraId="04AF7CB6">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39</w:t>
      </w:r>
      <w:r>
        <w:rPr>
          <w:rFonts w:hint="eastAsia" w:ascii="仿宋" w:hAnsi="仿宋" w:eastAsia="仿宋" w:cs="仿宋"/>
          <w:color w:val="auto"/>
          <w:sz w:val="22"/>
          <w:szCs w:val="22"/>
          <w:highlight w:val="none"/>
        </w:rPr>
        <w:t xml:space="preserve">.2.1 </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机构统一对外受理项目质疑资料。受理程序需要审核的资料：</w:t>
      </w:r>
      <w:r>
        <w:rPr>
          <w:rFonts w:hint="eastAsia" w:ascii="仿宋" w:hAnsi="仿宋" w:eastAsia="仿宋" w:cs="仿宋"/>
          <w:color w:val="auto"/>
          <w:sz w:val="22"/>
          <w:szCs w:val="22"/>
          <w:highlight w:val="none"/>
          <w:lang w:eastAsia="zh-CN"/>
        </w:rPr>
        <w:t>投标人</w:t>
      </w:r>
      <w:r>
        <w:rPr>
          <w:rFonts w:hint="eastAsia" w:ascii="仿宋" w:hAnsi="仿宋" w:eastAsia="仿宋" w:cs="仿宋"/>
          <w:color w:val="auto"/>
          <w:sz w:val="22"/>
          <w:szCs w:val="22"/>
          <w:highlight w:val="none"/>
        </w:rPr>
        <w:t>提供书面的质疑函件（原件且加盖公司公章）以及相关质疑内容的证明材料、法定代表人证明书、授权委托书、经办人身份证原件及复印件（加盖公章）。</w:t>
      </w:r>
    </w:p>
    <w:p w14:paraId="5D94A533">
      <w:pPr>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39</w:t>
      </w:r>
      <w:r>
        <w:rPr>
          <w:rFonts w:hint="eastAsia" w:ascii="仿宋" w:hAnsi="仿宋" w:eastAsia="仿宋" w:cs="仿宋"/>
          <w:color w:val="auto"/>
          <w:sz w:val="22"/>
          <w:szCs w:val="22"/>
          <w:highlight w:val="none"/>
        </w:rPr>
        <w:t>.2.2 异地</w:t>
      </w:r>
      <w:r>
        <w:rPr>
          <w:rFonts w:hint="eastAsia" w:ascii="仿宋" w:hAnsi="仿宋" w:eastAsia="仿宋" w:cs="仿宋"/>
          <w:color w:val="auto"/>
          <w:sz w:val="22"/>
          <w:szCs w:val="22"/>
          <w:highlight w:val="none"/>
          <w:lang w:eastAsia="zh-CN"/>
        </w:rPr>
        <w:t>投标人</w:t>
      </w:r>
      <w:r>
        <w:rPr>
          <w:rFonts w:hint="eastAsia" w:ascii="仿宋" w:hAnsi="仿宋" w:eastAsia="仿宋" w:cs="仿宋"/>
          <w:color w:val="auto"/>
          <w:sz w:val="22"/>
          <w:szCs w:val="22"/>
          <w:highlight w:val="none"/>
        </w:rPr>
        <w:t>质疑可传真函件至窗口进行预受理，但</w:t>
      </w:r>
      <w:r>
        <w:rPr>
          <w:rFonts w:hint="eastAsia" w:ascii="仿宋" w:hAnsi="仿宋" w:eastAsia="仿宋" w:cs="仿宋"/>
          <w:color w:val="auto"/>
          <w:sz w:val="22"/>
          <w:szCs w:val="22"/>
          <w:highlight w:val="none"/>
          <w:lang w:eastAsia="zh-CN"/>
        </w:rPr>
        <w:t>投标人</w:t>
      </w:r>
      <w:r>
        <w:rPr>
          <w:rFonts w:hint="eastAsia" w:ascii="仿宋" w:hAnsi="仿宋" w:eastAsia="仿宋" w:cs="仿宋"/>
          <w:color w:val="auto"/>
          <w:sz w:val="22"/>
          <w:szCs w:val="22"/>
          <w:highlight w:val="none"/>
        </w:rPr>
        <w:t>必须在发出传真函件后3个工作日内将资料原件【</w:t>
      </w:r>
      <w:r>
        <w:rPr>
          <w:rFonts w:hint="eastAsia" w:ascii="仿宋" w:hAnsi="仿宋" w:eastAsia="仿宋" w:cs="仿宋"/>
          <w:color w:val="auto"/>
          <w:sz w:val="22"/>
          <w:szCs w:val="22"/>
          <w:highlight w:val="none"/>
          <w:lang w:eastAsia="zh-CN"/>
        </w:rPr>
        <w:t>投标人</w:t>
      </w:r>
      <w:r>
        <w:rPr>
          <w:rFonts w:hint="eastAsia" w:ascii="仿宋" w:hAnsi="仿宋" w:eastAsia="仿宋" w:cs="仿宋"/>
          <w:color w:val="auto"/>
          <w:sz w:val="22"/>
          <w:szCs w:val="22"/>
          <w:highlight w:val="none"/>
        </w:rPr>
        <w:t>提供书面的质疑函件（原件且加盖公司公章）以及相关质疑内容的证明材料、法定代表人证明书、授权委托书、经办人身份证原件及复印件（加盖公章）】提交至或邮政快递至</w:t>
      </w: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机构，再给予正式受理。</w:t>
      </w:r>
    </w:p>
    <w:p w14:paraId="6A5638AE">
      <w:pPr>
        <w:spacing w:line="360" w:lineRule="auto"/>
        <w:rPr>
          <w:rFonts w:ascii="黑体" w:hAnsi="黑体" w:eastAsia="黑体" w:cs="黑体"/>
          <w:color w:val="auto"/>
          <w:sz w:val="24"/>
          <w:highlight w:val="none"/>
        </w:rPr>
      </w:pPr>
      <w:r>
        <w:rPr>
          <w:rFonts w:hint="eastAsia" w:ascii="黑体" w:hAnsi="黑体" w:eastAsia="黑体" w:cs="黑体"/>
          <w:color w:val="auto"/>
          <w:sz w:val="24"/>
          <w:highlight w:val="none"/>
        </w:rPr>
        <w:t>4</w:t>
      </w:r>
      <w:r>
        <w:rPr>
          <w:rFonts w:hint="eastAsia" w:ascii="黑体" w:hAnsi="黑体" w:eastAsia="黑体" w:cs="黑体"/>
          <w:color w:val="auto"/>
          <w:sz w:val="24"/>
          <w:highlight w:val="none"/>
          <w:lang w:val="en-US" w:eastAsia="zh-CN"/>
        </w:rPr>
        <w:t>0</w:t>
      </w:r>
      <w:r>
        <w:rPr>
          <w:rFonts w:hint="eastAsia" w:ascii="黑体" w:hAnsi="黑体" w:eastAsia="黑体" w:cs="黑体"/>
          <w:color w:val="auto"/>
          <w:sz w:val="24"/>
          <w:highlight w:val="none"/>
        </w:rPr>
        <w:t>. 质疑后续处理</w:t>
      </w:r>
    </w:p>
    <w:p w14:paraId="6922B126">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4</w:t>
      </w:r>
      <w:r>
        <w:rPr>
          <w:rFonts w:hint="eastAsia" w:ascii="仿宋" w:hAnsi="仿宋" w:eastAsia="仿宋" w:cs="仿宋"/>
          <w:color w:val="auto"/>
          <w:sz w:val="22"/>
          <w:szCs w:val="22"/>
          <w:highlight w:val="none"/>
          <w:lang w:val="en-US" w:eastAsia="zh-CN"/>
        </w:rPr>
        <w:t>0</w:t>
      </w:r>
      <w:r>
        <w:rPr>
          <w:rFonts w:hint="eastAsia" w:ascii="仿宋" w:hAnsi="仿宋" w:eastAsia="仿宋" w:cs="仿宋"/>
          <w:color w:val="auto"/>
          <w:sz w:val="22"/>
          <w:szCs w:val="22"/>
          <w:highlight w:val="none"/>
        </w:rPr>
        <w:t>.1</w:t>
      </w:r>
      <w:r>
        <w:rPr>
          <w:rFonts w:hint="eastAsia" w:ascii="仿宋" w:hAnsi="仿宋" w:eastAsia="仿宋" w:cs="仿宋"/>
          <w:color w:val="auto"/>
          <w:sz w:val="22"/>
          <w:szCs w:val="22"/>
          <w:highlight w:val="none"/>
          <w:lang w:eastAsia="zh-CN"/>
        </w:rPr>
        <w:t>投标人</w:t>
      </w:r>
      <w:r>
        <w:rPr>
          <w:rFonts w:hint="eastAsia" w:ascii="仿宋" w:hAnsi="仿宋" w:eastAsia="仿宋" w:cs="仿宋"/>
          <w:color w:val="auto"/>
          <w:sz w:val="22"/>
          <w:szCs w:val="22"/>
          <w:highlight w:val="none"/>
        </w:rPr>
        <w:t>质疑不成立，或者成立但未对中标、成交结果构成影响的，继续开展</w:t>
      </w:r>
      <w:r>
        <w:rPr>
          <w:rFonts w:hint="eastAsia" w:ascii="仿宋" w:hAnsi="仿宋" w:eastAsia="仿宋" w:cs="仿宋"/>
          <w:color w:val="auto"/>
          <w:sz w:val="22"/>
          <w:szCs w:val="22"/>
          <w:highlight w:val="none"/>
          <w:lang w:eastAsia="zh-CN"/>
        </w:rPr>
        <w:t>招标</w:t>
      </w:r>
      <w:r>
        <w:rPr>
          <w:rFonts w:hint="eastAsia" w:ascii="仿宋" w:hAnsi="仿宋" w:eastAsia="仿宋" w:cs="仿宋"/>
          <w:color w:val="auto"/>
          <w:sz w:val="22"/>
          <w:szCs w:val="22"/>
          <w:highlight w:val="none"/>
        </w:rPr>
        <w:t>活动。</w:t>
      </w:r>
    </w:p>
    <w:p w14:paraId="76C81BC3">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4</w:t>
      </w:r>
      <w:r>
        <w:rPr>
          <w:rFonts w:hint="eastAsia" w:ascii="仿宋" w:hAnsi="仿宋" w:eastAsia="仿宋" w:cs="仿宋"/>
          <w:color w:val="auto"/>
          <w:sz w:val="22"/>
          <w:szCs w:val="22"/>
          <w:highlight w:val="none"/>
          <w:lang w:val="en-US" w:eastAsia="zh-CN"/>
        </w:rPr>
        <w:t>0</w:t>
      </w:r>
      <w:r>
        <w:rPr>
          <w:rFonts w:hint="eastAsia" w:ascii="仿宋" w:hAnsi="仿宋" w:eastAsia="仿宋" w:cs="仿宋"/>
          <w:color w:val="auto"/>
          <w:sz w:val="22"/>
          <w:szCs w:val="22"/>
          <w:highlight w:val="none"/>
        </w:rPr>
        <w:t>.2</w:t>
      </w:r>
      <w:r>
        <w:rPr>
          <w:rFonts w:hint="eastAsia" w:ascii="仿宋" w:hAnsi="仿宋" w:eastAsia="仿宋" w:cs="仿宋"/>
          <w:color w:val="auto"/>
          <w:sz w:val="22"/>
          <w:szCs w:val="22"/>
          <w:highlight w:val="none"/>
          <w:lang w:eastAsia="zh-CN"/>
        </w:rPr>
        <w:t>投标人</w:t>
      </w:r>
      <w:r>
        <w:rPr>
          <w:rFonts w:hint="eastAsia" w:ascii="仿宋" w:hAnsi="仿宋" w:eastAsia="仿宋" w:cs="仿宋"/>
          <w:color w:val="auto"/>
          <w:sz w:val="22"/>
          <w:szCs w:val="22"/>
          <w:highlight w:val="none"/>
        </w:rPr>
        <w:t>质疑成立且影响或者可能影响中标、成交结果的，按照下列情况处理：</w:t>
      </w:r>
    </w:p>
    <w:p w14:paraId="23C7FB11">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4</w:t>
      </w:r>
      <w:r>
        <w:rPr>
          <w:rFonts w:hint="eastAsia" w:ascii="仿宋" w:hAnsi="仿宋" w:eastAsia="仿宋" w:cs="仿宋"/>
          <w:color w:val="auto"/>
          <w:sz w:val="22"/>
          <w:szCs w:val="22"/>
          <w:highlight w:val="none"/>
          <w:lang w:val="en-US" w:eastAsia="zh-CN"/>
        </w:rPr>
        <w:t>0</w:t>
      </w:r>
      <w:r>
        <w:rPr>
          <w:rFonts w:hint="eastAsia" w:ascii="仿宋" w:hAnsi="仿宋" w:eastAsia="仿宋" w:cs="仿宋"/>
          <w:color w:val="auto"/>
          <w:sz w:val="22"/>
          <w:szCs w:val="22"/>
          <w:highlight w:val="none"/>
        </w:rPr>
        <w:t>.2.1对</w:t>
      </w:r>
      <w:r>
        <w:rPr>
          <w:rFonts w:hint="eastAsia" w:ascii="仿宋" w:hAnsi="仿宋" w:eastAsia="仿宋" w:cs="仿宋"/>
          <w:color w:val="auto"/>
          <w:sz w:val="22"/>
          <w:szCs w:val="22"/>
          <w:highlight w:val="none"/>
          <w:lang w:eastAsia="zh-CN"/>
        </w:rPr>
        <w:t>招标</w:t>
      </w:r>
      <w:r>
        <w:rPr>
          <w:rFonts w:hint="eastAsia" w:ascii="仿宋" w:hAnsi="仿宋" w:eastAsia="仿宋" w:cs="仿宋"/>
          <w:color w:val="auto"/>
          <w:sz w:val="22"/>
          <w:szCs w:val="22"/>
          <w:highlight w:val="none"/>
        </w:rPr>
        <w:t>文件提出的质疑，依法通过澄清或者修改可以继续开展</w:t>
      </w:r>
      <w:r>
        <w:rPr>
          <w:rFonts w:hint="eastAsia" w:ascii="仿宋" w:hAnsi="仿宋" w:eastAsia="仿宋" w:cs="仿宋"/>
          <w:color w:val="auto"/>
          <w:sz w:val="22"/>
          <w:szCs w:val="22"/>
          <w:highlight w:val="none"/>
          <w:lang w:eastAsia="zh-CN"/>
        </w:rPr>
        <w:t>招标</w:t>
      </w:r>
      <w:r>
        <w:rPr>
          <w:rFonts w:hint="eastAsia" w:ascii="仿宋" w:hAnsi="仿宋" w:eastAsia="仿宋" w:cs="仿宋"/>
          <w:color w:val="auto"/>
          <w:sz w:val="22"/>
          <w:szCs w:val="22"/>
          <w:highlight w:val="none"/>
        </w:rPr>
        <w:t>活动的，澄清或者修改</w:t>
      </w:r>
      <w:r>
        <w:rPr>
          <w:rFonts w:hint="eastAsia" w:ascii="仿宋" w:hAnsi="仿宋" w:eastAsia="仿宋" w:cs="仿宋"/>
          <w:color w:val="auto"/>
          <w:sz w:val="22"/>
          <w:szCs w:val="22"/>
          <w:highlight w:val="none"/>
          <w:lang w:eastAsia="zh-CN"/>
        </w:rPr>
        <w:t>招标</w:t>
      </w:r>
      <w:r>
        <w:rPr>
          <w:rFonts w:hint="eastAsia" w:ascii="仿宋" w:hAnsi="仿宋" w:eastAsia="仿宋" w:cs="仿宋"/>
          <w:color w:val="auto"/>
          <w:sz w:val="22"/>
          <w:szCs w:val="22"/>
          <w:highlight w:val="none"/>
        </w:rPr>
        <w:t>文件后继续开展</w:t>
      </w:r>
      <w:r>
        <w:rPr>
          <w:rFonts w:hint="eastAsia" w:ascii="仿宋" w:hAnsi="仿宋" w:eastAsia="仿宋" w:cs="仿宋"/>
          <w:color w:val="auto"/>
          <w:sz w:val="22"/>
          <w:szCs w:val="22"/>
          <w:highlight w:val="none"/>
          <w:lang w:eastAsia="zh-CN"/>
        </w:rPr>
        <w:t>招标</w:t>
      </w:r>
      <w:r>
        <w:rPr>
          <w:rFonts w:hint="eastAsia" w:ascii="仿宋" w:hAnsi="仿宋" w:eastAsia="仿宋" w:cs="仿宋"/>
          <w:color w:val="auto"/>
          <w:sz w:val="22"/>
          <w:szCs w:val="22"/>
          <w:highlight w:val="none"/>
        </w:rPr>
        <w:t>活动；否则应当修改</w:t>
      </w:r>
      <w:r>
        <w:rPr>
          <w:rFonts w:hint="eastAsia" w:ascii="仿宋" w:hAnsi="仿宋" w:eastAsia="仿宋" w:cs="仿宋"/>
          <w:color w:val="auto"/>
          <w:sz w:val="22"/>
          <w:szCs w:val="22"/>
          <w:highlight w:val="none"/>
          <w:lang w:eastAsia="zh-CN"/>
        </w:rPr>
        <w:t>招标</w:t>
      </w:r>
      <w:r>
        <w:rPr>
          <w:rFonts w:hint="eastAsia" w:ascii="仿宋" w:hAnsi="仿宋" w:eastAsia="仿宋" w:cs="仿宋"/>
          <w:color w:val="auto"/>
          <w:sz w:val="22"/>
          <w:szCs w:val="22"/>
          <w:highlight w:val="none"/>
        </w:rPr>
        <w:t>文件后重新开展</w:t>
      </w:r>
      <w:r>
        <w:rPr>
          <w:rFonts w:hint="eastAsia" w:ascii="仿宋" w:hAnsi="仿宋" w:eastAsia="仿宋" w:cs="仿宋"/>
          <w:color w:val="auto"/>
          <w:sz w:val="22"/>
          <w:szCs w:val="22"/>
          <w:highlight w:val="none"/>
          <w:lang w:eastAsia="zh-CN"/>
        </w:rPr>
        <w:t>招标</w:t>
      </w:r>
      <w:r>
        <w:rPr>
          <w:rFonts w:hint="eastAsia" w:ascii="仿宋" w:hAnsi="仿宋" w:eastAsia="仿宋" w:cs="仿宋"/>
          <w:color w:val="auto"/>
          <w:sz w:val="22"/>
          <w:szCs w:val="22"/>
          <w:highlight w:val="none"/>
        </w:rPr>
        <w:t>活动。</w:t>
      </w:r>
    </w:p>
    <w:p w14:paraId="0351EA29">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4</w:t>
      </w:r>
      <w:r>
        <w:rPr>
          <w:rFonts w:hint="eastAsia" w:ascii="仿宋" w:hAnsi="仿宋" w:eastAsia="仿宋" w:cs="仿宋"/>
          <w:color w:val="auto"/>
          <w:sz w:val="22"/>
          <w:szCs w:val="22"/>
          <w:highlight w:val="none"/>
          <w:lang w:val="en-US" w:eastAsia="zh-CN"/>
        </w:rPr>
        <w:t>0</w:t>
      </w:r>
      <w:r>
        <w:rPr>
          <w:rFonts w:hint="eastAsia" w:ascii="仿宋" w:hAnsi="仿宋" w:eastAsia="仿宋" w:cs="仿宋"/>
          <w:color w:val="auto"/>
          <w:sz w:val="22"/>
          <w:szCs w:val="22"/>
          <w:highlight w:val="none"/>
        </w:rPr>
        <w:t>.2.2对</w:t>
      </w:r>
      <w:r>
        <w:rPr>
          <w:rFonts w:hint="eastAsia" w:ascii="仿宋" w:hAnsi="仿宋" w:eastAsia="仿宋" w:cs="仿宋"/>
          <w:color w:val="auto"/>
          <w:sz w:val="22"/>
          <w:szCs w:val="22"/>
          <w:highlight w:val="none"/>
          <w:lang w:eastAsia="zh-CN"/>
        </w:rPr>
        <w:t>招标</w:t>
      </w:r>
      <w:r>
        <w:rPr>
          <w:rFonts w:hint="eastAsia" w:ascii="仿宋" w:hAnsi="仿宋" w:eastAsia="仿宋" w:cs="仿宋"/>
          <w:color w:val="auto"/>
          <w:sz w:val="22"/>
          <w:szCs w:val="22"/>
          <w:highlight w:val="none"/>
        </w:rPr>
        <w:t>过程、中标或者成交结果提出的质疑，合格</w:t>
      </w:r>
      <w:r>
        <w:rPr>
          <w:rFonts w:hint="eastAsia" w:ascii="仿宋" w:hAnsi="仿宋" w:eastAsia="仿宋" w:cs="仿宋"/>
          <w:color w:val="auto"/>
          <w:sz w:val="22"/>
          <w:szCs w:val="22"/>
          <w:highlight w:val="none"/>
          <w:lang w:eastAsia="zh-CN"/>
        </w:rPr>
        <w:t>投标人</w:t>
      </w:r>
      <w:r>
        <w:rPr>
          <w:rFonts w:hint="eastAsia" w:ascii="仿宋" w:hAnsi="仿宋" w:eastAsia="仿宋" w:cs="仿宋"/>
          <w:color w:val="auto"/>
          <w:sz w:val="22"/>
          <w:szCs w:val="22"/>
          <w:highlight w:val="none"/>
        </w:rPr>
        <w:t>符合法定数量时，可以从合格的中标或者成交候选人中另行确定中标、成交</w:t>
      </w:r>
      <w:r>
        <w:rPr>
          <w:rFonts w:hint="eastAsia" w:ascii="仿宋" w:hAnsi="仿宋" w:eastAsia="仿宋" w:cs="仿宋"/>
          <w:color w:val="auto"/>
          <w:sz w:val="22"/>
          <w:szCs w:val="22"/>
          <w:highlight w:val="none"/>
          <w:lang w:eastAsia="zh-CN"/>
        </w:rPr>
        <w:t>人</w:t>
      </w:r>
      <w:r>
        <w:rPr>
          <w:rFonts w:hint="eastAsia" w:ascii="仿宋" w:hAnsi="仿宋" w:eastAsia="仿宋" w:cs="仿宋"/>
          <w:color w:val="auto"/>
          <w:sz w:val="22"/>
          <w:szCs w:val="22"/>
          <w:highlight w:val="none"/>
        </w:rPr>
        <w:t>的，应当依法另行确定中标、成交</w:t>
      </w:r>
      <w:r>
        <w:rPr>
          <w:rFonts w:hint="eastAsia" w:ascii="仿宋" w:hAnsi="仿宋" w:eastAsia="仿宋" w:cs="仿宋"/>
          <w:color w:val="auto"/>
          <w:sz w:val="22"/>
          <w:szCs w:val="22"/>
          <w:highlight w:val="none"/>
          <w:lang w:val="en-US" w:eastAsia="zh-CN"/>
        </w:rPr>
        <w:t>人</w:t>
      </w:r>
      <w:r>
        <w:rPr>
          <w:rFonts w:hint="eastAsia" w:ascii="仿宋" w:hAnsi="仿宋" w:eastAsia="仿宋" w:cs="仿宋"/>
          <w:color w:val="auto"/>
          <w:sz w:val="22"/>
          <w:szCs w:val="22"/>
          <w:highlight w:val="none"/>
        </w:rPr>
        <w:t>；否则应当重新开展</w:t>
      </w:r>
      <w:r>
        <w:rPr>
          <w:rFonts w:hint="eastAsia" w:ascii="仿宋" w:hAnsi="仿宋" w:eastAsia="仿宋" w:cs="仿宋"/>
          <w:color w:val="auto"/>
          <w:sz w:val="22"/>
          <w:szCs w:val="22"/>
          <w:highlight w:val="none"/>
          <w:lang w:eastAsia="zh-CN"/>
        </w:rPr>
        <w:t>招标</w:t>
      </w:r>
      <w:r>
        <w:rPr>
          <w:rFonts w:hint="eastAsia" w:ascii="仿宋" w:hAnsi="仿宋" w:eastAsia="仿宋" w:cs="仿宋"/>
          <w:color w:val="auto"/>
          <w:sz w:val="22"/>
          <w:szCs w:val="22"/>
          <w:highlight w:val="none"/>
        </w:rPr>
        <w:t>活动。</w:t>
      </w:r>
    </w:p>
    <w:p w14:paraId="2BF2DDAD">
      <w:pPr>
        <w:spacing w:line="360" w:lineRule="auto"/>
        <w:rPr>
          <w:rFonts w:ascii="宋体" w:hAnsi="宋体"/>
          <w:color w:val="auto"/>
          <w:szCs w:val="21"/>
          <w:highlight w:val="none"/>
        </w:rPr>
      </w:pPr>
    </w:p>
    <w:p w14:paraId="3EC107F4">
      <w:pPr>
        <w:spacing w:line="360" w:lineRule="auto"/>
        <w:jc w:val="center"/>
        <w:rPr>
          <w:rFonts w:ascii="宋体" w:hAnsi="宋体"/>
          <w:color w:val="auto"/>
          <w:szCs w:val="21"/>
          <w:highlight w:val="none"/>
        </w:rPr>
      </w:pPr>
      <w:r>
        <w:rPr>
          <w:color w:val="auto"/>
          <w:highlight w:val="none"/>
        </w:rPr>
        <w:t>---- END ----</w:t>
      </w:r>
    </w:p>
    <w:p w14:paraId="2D8920CB">
      <w:pPr>
        <w:rPr>
          <w:color w:val="auto"/>
          <w:highlight w:val="none"/>
        </w:rPr>
      </w:pPr>
    </w:p>
    <w:p w14:paraId="6CA522BA">
      <w:pPr>
        <w:rPr>
          <w:color w:val="auto"/>
          <w:highlight w:val="none"/>
        </w:rPr>
      </w:pPr>
    </w:p>
    <w:p w14:paraId="2A7CDB5D">
      <w:pPr>
        <w:pStyle w:val="2"/>
        <w:pageBreakBefore/>
        <w:rPr>
          <w:color w:val="auto"/>
          <w:highlight w:val="none"/>
        </w:rPr>
      </w:pPr>
    </w:p>
    <w:p w14:paraId="1CDB919A">
      <w:pPr>
        <w:rPr>
          <w:color w:val="auto"/>
          <w:highlight w:val="none"/>
        </w:rPr>
      </w:pPr>
    </w:p>
    <w:p w14:paraId="7A61C45F">
      <w:pPr>
        <w:rPr>
          <w:color w:val="auto"/>
          <w:highlight w:val="none"/>
        </w:rPr>
      </w:pPr>
    </w:p>
    <w:p w14:paraId="3D82DD7D">
      <w:pPr>
        <w:rPr>
          <w:color w:val="auto"/>
          <w:highlight w:val="none"/>
        </w:rPr>
      </w:pPr>
    </w:p>
    <w:p w14:paraId="174C92DF">
      <w:pPr>
        <w:rPr>
          <w:color w:val="auto"/>
          <w:highlight w:val="none"/>
        </w:rPr>
      </w:pPr>
    </w:p>
    <w:p w14:paraId="7E8512D3">
      <w:pPr>
        <w:rPr>
          <w:color w:val="auto"/>
          <w:highlight w:val="none"/>
        </w:rPr>
      </w:pPr>
    </w:p>
    <w:p w14:paraId="3DE05B74">
      <w:pPr>
        <w:rPr>
          <w:color w:val="auto"/>
          <w:highlight w:val="none"/>
        </w:rPr>
      </w:pPr>
    </w:p>
    <w:p w14:paraId="649C67A9">
      <w:pPr>
        <w:rPr>
          <w:color w:val="auto"/>
          <w:highlight w:val="none"/>
        </w:rPr>
      </w:pPr>
    </w:p>
    <w:p w14:paraId="33376C03">
      <w:pPr>
        <w:rPr>
          <w:color w:val="auto"/>
          <w:highlight w:val="none"/>
        </w:rPr>
      </w:pPr>
    </w:p>
    <w:p w14:paraId="0F8E21AF">
      <w:pPr>
        <w:rPr>
          <w:color w:val="auto"/>
          <w:highlight w:val="none"/>
        </w:rPr>
      </w:pPr>
    </w:p>
    <w:p w14:paraId="5B08C4A7">
      <w:pPr>
        <w:rPr>
          <w:color w:val="auto"/>
          <w:highlight w:val="none"/>
        </w:rPr>
      </w:pPr>
    </w:p>
    <w:p w14:paraId="366AEF81">
      <w:pPr>
        <w:rPr>
          <w:color w:val="auto"/>
          <w:highlight w:val="none"/>
        </w:rPr>
      </w:pPr>
    </w:p>
    <w:p w14:paraId="48590DF5">
      <w:pPr>
        <w:rPr>
          <w:color w:val="auto"/>
          <w:highlight w:val="none"/>
        </w:rPr>
      </w:pPr>
    </w:p>
    <w:p w14:paraId="07F33CF8">
      <w:pPr>
        <w:rPr>
          <w:color w:val="auto"/>
          <w:highlight w:val="none"/>
        </w:rPr>
      </w:pPr>
    </w:p>
    <w:p w14:paraId="21825E41">
      <w:pPr>
        <w:rPr>
          <w:color w:val="auto"/>
          <w:highlight w:val="none"/>
        </w:rPr>
      </w:pPr>
    </w:p>
    <w:p w14:paraId="60441E70">
      <w:pPr>
        <w:rPr>
          <w:color w:val="auto"/>
          <w:highlight w:val="none"/>
        </w:rPr>
      </w:pPr>
    </w:p>
    <w:p w14:paraId="4B229C5E">
      <w:pPr>
        <w:rPr>
          <w:color w:val="auto"/>
          <w:highlight w:val="none"/>
        </w:rPr>
      </w:pPr>
    </w:p>
    <w:p w14:paraId="7B4D0A50">
      <w:pPr>
        <w:pStyle w:val="40"/>
        <w:spacing w:before="120" w:after="120"/>
        <w:rPr>
          <w:b w:val="0"/>
          <w:color w:val="auto"/>
          <w:highlight w:val="none"/>
        </w:rPr>
      </w:pPr>
      <w:bookmarkStart w:id="336" w:name="_Toc24187"/>
      <w:bookmarkStart w:id="337" w:name="_Toc23928"/>
      <w:bookmarkStart w:id="338" w:name="_Toc31111"/>
      <w:bookmarkStart w:id="339" w:name="_Toc29729"/>
      <w:bookmarkStart w:id="340" w:name="_Toc11389"/>
      <w:bookmarkStart w:id="341" w:name="_Toc4120"/>
      <w:bookmarkStart w:id="342" w:name="_Toc11992"/>
      <w:bookmarkStart w:id="343" w:name="_Toc25116"/>
      <w:bookmarkStart w:id="344" w:name="_Toc128564762"/>
      <w:bookmarkStart w:id="345" w:name="_Toc31542"/>
      <w:bookmarkStart w:id="346" w:name="_Toc17721"/>
      <w:r>
        <w:rPr>
          <w:rFonts w:hint="eastAsia" w:eastAsia="黑体"/>
          <w:b w:val="0"/>
          <w:color w:val="auto"/>
          <w:sz w:val="44"/>
          <w:highlight w:val="none"/>
        </w:rPr>
        <w:t>第二册 专用条款</w:t>
      </w:r>
      <w:bookmarkEnd w:id="336"/>
      <w:bookmarkEnd w:id="337"/>
      <w:bookmarkEnd w:id="338"/>
      <w:bookmarkEnd w:id="339"/>
      <w:bookmarkEnd w:id="340"/>
      <w:bookmarkEnd w:id="341"/>
      <w:bookmarkEnd w:id="342"/>
      <w:bookmarkEnd w:id="343"/>
      <w:bookmarkEnd w:id="344"/>
      <w:bookmarkEnd w:id="345"/>
      <w:bookmarkEnd w:id="346"/>
    </w:p>
    <w:p w14:paraId="41A09DC6">
      <w:pPr>
        <w:rPr>
          <w:color w:val="auto"/>
          <w:highlight w:val="none"/>
        </w:rPr>
      </w:pPr>
    </w:p>
    <w:p w14:paraId="385D218A">
      <w:pPr>
        <w:pStyle w:val="4"/>
        <w:pageBreakBefore/>
        <w:spacing w:line="415" w:lineRule="auto"/>
        <w:jc w:val="center"/>
        <w:rPr>
          <w:b/>
          <w:bCs/>
          <w:color w:val="auto"/>
          <w:highlight w:val="none"/>
        </w:rPr>
      </w:pPr>
      <w:bookmarkStart w:id="347" w:name="_Toc4548"/>
      <w:bookmarkStart w:id="348" w:name="_Toc5299"/>
      <w:bookmarkStart w:id="349" w:name="_Toc22269"/>
      <w:bookmarkStart w:id="350" w:name="_Toc128564763"/>
      <w:bookmarkStart w:id="351" w:name="_Toc29165"/>
      <w:bookmarkStart w:id="352" w:name="_Toc100319578"/>
      <w:bookmarkStart w:id="353" w:name="_Toc34238554"/>
      <w:bookmarkStart w:id="354" w:name="_Toc14569"/>
      <w:bookmarkStart w:id="355" w:name="_Toc7436"/>
      <w:bookmarkStart w:id="356" w:name="_Toc24692"/>
      <w:bookmarkStart w:id="357" w:name="_Toc7490"/>
      <w:bookmarkStart w:id="358" w:name="_Toc26199"/>
      <w:bookmarkStart w:id="359" w:name="_Toc2294"/>
      <w:bookmarkStart w:id="360" w:name="_Toc28867"/>
      <w:r>
        <w:rPr>
          <w:rFonts w:hint="eastAsia"/>
          <w:b/>
          <w:bCs/>
          <w:color w:val="auto"/>
          <w:highlight w:val="none"/>
        </w:rPr>
        <w:t>第一章  招标公告</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16210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207A3092">
            <w:pPr>
              <w:spacing w:line="400" w:lineRule="exact"/>
              <w:ind w:firstLine="480" w:firstLineChars="200"/>
              <w:jc w:val="left"/>
              <w:rPr>
                <w:rFonts w:ascii="宋体" w:hAnsi="宋体"/>
                <w:color w:val="auto"/>
                <w:szCs w:val="21"/>
                <w:highlight w:val="none"/>
              </w:rPr>
            </w:pPr>
            <w:r>
              <w:rPr>
                <w:rFonts w:hint="eastAsia" w:ascii="仿宋" w:hAnsi="仿宋" w:eastAsia="仿宋" w:cs="仿宋"/>
                <w:color w:val="auto"/>
                <w:sz w:val="24"/>
                <w:highlight w:val="none"/>
                <w:lang w:eastAsia="zh-CN"/>
              </w:rPr>
              <w:t>2025-2026年日常养护项目交通安全设施专业分包采购</w:t>
            </w:r>
            <w:r>
              <w:rPr>
                <w:rFonts w:hint="eastAsia" w:ascii="仿宋" w:hAnsi="仿宋" w:eastAsia="仿宋" w:cs="仿宋"/>
                <w:color w:val="auto"/>
                <w:sz w:val="24"/>
                <w:highlight w:val="none"/>
              </w:rPr>
              <w:t>的潜在投标人应在深圳市宝安区建设工程监理有限公司获取招标文件,并于202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日</w:t>
            </w:r>
            <w:r>
              <w:rPr>
                <w:rFonts w:hint="eastAsia" w:ascii="仿宋" w:hAnsi="仿宋" w:eastAsia="仿宋" w:cs="仿宋"/>
                <w:color w:val="auto"/>
                <w:sz w:val="24"/>
                <w:highlight w:val="none"/>
                <w:lang w:val="en-US" w:eastAsia="zh-CN"/>
              </w:rPr>
              <w:t>14</w:t>
            </w:r>
            <w:r>
              <w:rPr>
                <w:rFonts w:hint="eastAsia" w:ascii="仿宋" w:hAnsi="仿宋" w:eastAsia="仿宋" w:cs="仿宋"/>
                <w:color w:val="auto"/>
                <w:sz w:val="24"/>
                <w:highlight w:val="none"/>
              </w:rPr>
              <w:t>点30分00秒(北京时间)前递交投标文件。</w:t>
            </w:r>
          </w:p>
        </w:tc>
      </w:tr>
    </w:tbl>
    <w:p w14:paraId="454A3F9B">
      <w:pPr>
        <w:adjustRightInd w:val="0"/>
        <w:snapToGrid w:val="0"/>
        <w:spacing w:line="400" w:lineRule="exact"/>
        <w:jc w:val="left"/>
        <w:rPr>
          <w:rFonts w:ascii="仿宋" w:hAnsi="仿宋" w:eastAsia="仿宋" w:cs="仿宋"/>
          <w:color w:val="auto"/>
          <w:sz w:val="24"/>
          <w:highlight w:val="none"/>
        </w:rPr>
      </w:pPr>
    </w:p>
    <w:p w14:paraId="1B776D77">
      <w:pPr>
        <w:adjustRightInd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一、项目基本情况</w:t>
      </w:r>
    </w:p>
    <w:p w14:paraId="06301574">
      <w:pPr>
        <w:adjustRightInd w:val="0"/>
        <w:snapToGrid w:val="0"/>
        <w:spacing w:line="40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1、项目编号：</w:t>
      </w:r>
      <w:r>
        <w:rPr>
          <w:rFonts w:hint="eastAsia" w:ascii="仿宋" w:hAnsi="仿宋" w:eastAsia="仿宋" w:cs="仿宋"/>
          <w:color w:val="auto"/>
          <w:sz w:val="24"/>
          <w:highlight w:val="none"/>
          <w:lang w:eastAsia="zh-CN"/>
        </w:rPr>
        <w:t>BAJL20250026</w:t>
      </w:r>
    </w:p>
    <w:p w14:paraId="361A1B31">
      <w:pPr>
        <w:adjustRightInd w:val="0"/>
        <w:snapToGrid w:val="0"/>
        <w:spacing w:line="400" w:lineRule="exact"/>
        <w:ind w:firstLine="480" w:firstLineChars="200"/>
        <w:rPr>
          <w:rFonts w:hint="eastAsia" w:ascii="仿宋" w:hAnsi="仿宋" w:eastAsia="仿宋" w:cs="仿宋"/>
          <w:color w:val="auto"/>
          <w:sz w:val="24"/>
          <w:highlight w:val="none"/>
          <w:lang w:eastAsia="zh-CN"/>
        </w:rPr>
      </w:pPr>
      <w:r>
        <w:rPr>
          <w:rFonts w:ascii="仿宋" w:hAnsi="仿宋" w:eastAsia="仿宋" w:cs="仿宋"/>
          <w:color w:val="auto"/>
          <w:sz w:val="24"/>
          <w:highlight w:val="none"/>
        </w:rPr>
        <w:t>2</w:t>
      </w: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lang w:eastAsia="zh-CN"/>
        </w:rPr>
        <w:t>2025-2026年日常养护项目交通安全设施专业分包采购</w:t>
      </w:r>
    </w:p>
    <w:p w14:paraId="7BBFF278">
      <w:pPr>
        <w:adjustRightInd w:val="0"/>
        <w:snapToGrid w:val="0"/>
        <w:spacing w:line="40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3</w:t>
      </w:r>
      <w:r>
        <w:rPr>
          <w:rFonts w:hint="eastAsia" w:ascii="仿宋" w:hAnsi="仿宋" w:eastAsia="仿宋" w:cs="仿宋"/>
          <w:color w:val="auto"/>
          <w:sz w:val="24"/>
          <w:highlight w:val="none"/>
        </w:rPr>
        <w:t>、预算金额：￥</w:t>
      </w:r>
      <w:r>
        <w:rPr>
          <w:rFonts w:hint="eastAsia" w:ascii="仿宋" w:hAnsi="仿宋" w:eastAsia="仿宋" w:cs="仿宋"/>
          <w:color w:val="auto"/>
          <w:sz w:val="24"/>
          <w:highlight w:val="none"/>
          <w:lang w:val="en-US" w:eastAsia="zh-CN"/>
        </w:rPr>
        <w:t>15,000,000.00</w:t>
      </w:r>
      <w:r>
        <w:rPr>
          <w:rFonts w:hint="eastAsia" w:ascii="仿宋" w:hAnsi="仿宋" w:eastAsia="仿宋" w:cs="仿宋"/>
          <w:color w:val="auto"/>
          <w:sz w:val="24"/>
          <w:highlight w:val="none"/>
        </w:rPr>
        <w:t>元</w:t>
      </w:r>
    </w:p>
    <w:p w14:paraId="03CBB607">
      <w:pPr>
        <w:adjustRightInd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4、最高限价：￥</w:t>
      </w:r>
      <w:r>
        <w:rPr>
          <w:rFonts w:hint="eastAsia" w:ascii="仿宋" w:hAnsi="仿宋" w:eastAsia="仿宋" w:cs="仿宋"/>
          <w:color w:val="auto"/>
          <w:sz w:val="24"/>
          <w:highlight w:val="none"/>
          <w:lang w:val="en-US" w:eastAsia="zh-CN"/>
        </w:rPr>
        <w:t>15,000,000.00</w:t>
      </w:r>
      <w:r>
        <w:rPr>
          <w:rFonts w:hint="eastAsia" w:ascii="仿宋" w:hAnsi="仿宋" w:eastAsia="仿宋" w:cs="仿宋"/>
          <w:color w:val="auto"/>
          <w:sz w:val="24"/>
          <w:highlight w:val="none"/>
        </w:rPr>
        <w:t>元</w:t>
      </w:r>
    </w:p>
    <w:p w14:paraId="200CB757">
      <w:pPr>
        <w:adjustRightInd w:val="0"/>
        <w:snapToGrid w:val="0"/>
        <w:spacing w:line="40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、采购需求：详见招标文件。</w:t>
      </w:r>
    </w:p>
    <w:p w14:paraId="33F5D8FD">
      <w:pPr>
        <w:adjustRightInd w:val="0"/>
        <w:snapToGrid w:val="0"/>
        <w:spacing w:line="40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、合同履行期限：详见招标文件。</w:t>
      </w:r>
    </w:p>
    <w:p w14:paraId="5DF9CB37">
      <w:pPr>
        <w:adjustRightInd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二、投标人资格要求：</w:t>
      </w:r>
    </w:p>
    <w:p w14:paraId="473C7B41">
      <w:pPr>
        <w:adjustRightInd w:val="0"/>
        <w:snapToGrid w:val="0"/>
        <w:spacing w:line="400" w:lineRule="exact"/>
        <w:ind w:firstLine="480" w:firstLineChars="200"/>
        <w:rPr>
          <w:rFonts w:hint="eastAsia"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、中华人民共和国境内依法注册的独立法人，具有独立承担民事责任的能力（提供营业执照或事业单位法人证书或其他证明材料复印件加盖公章，原件备查）；</w:t>
      </w:r>
    </w:p>
    <w:p w14:paraId="402AE920">
      <w:pPr>
        <w:adjustRightInd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2、投标人</w:t>
      </w:r>
      <w:r>
        <w:rPr>
          <w:rFonts w:hint="eastAsia" w:ascii="仿宋" w:hAnsi="仿宋" w:eastAsia="仿宋" w:cs="仿宋"/>
          <w:bCs w:val="0"/>
          <w:color w:val="auto"/>
          <w:sz w:val="24"/>
          <w:highlight w:val="none"/>
        </w:rPr>
        <w:t>必须具有公路交通工程（公路安全设施）专业承包二级或以上资质，并具有安全生产许可证</w:t>
      </w:r>
      <w:r>
        <w:rPr>
          <w:rFonts w:hint="eastAsia" w:ascii="仿宋" w:hAnsi="仿宋" w:eastAsia="仿宋" w:cs="仿宋"/>
          <w:color w:val="auto"/>
          <w:sz w:val="24"/>
          <w:highlight w:val="none"/>
        </w:rPr>
        <w:t>（需提供有效期内的相关资质证书扫描件，原件备查）</w:t>
      </w:r>
      <w:r>
        <w:rPr>
          <w:rFonts w:hint="eastAsia" w:ascii="仿宋" w:hAnsi="仿宋" w:eastAsia="仿宋" w:cs="仿宋"/>
          <w:color w:val="auto"/>
          <w:sz w:val="24"/>
          <w:highlight w:val="none"/>
        </w:rPr>
        <w:cr/>
      </w:r>
      <w:r>
        <w:rPr>
          <w:rFonts w:hint="eastAsia" w:ascii="仿宋" w:hAnsi="仿宋" w:eastAsia="仿宋" w:cs="仿宋"/>
          <w:color w:val="auto"/>
          <w:sz w:val="24"/>
          <w:highlight w:val="none"/>
          <w:lang w:val="en-US" w:eastAsia="zh-CN"/>
        </w:rPr>
        <w:t xml:space="preserve">    3、</w:t>
      </w:r>
      <w:r>
        <w:rPr>
          <w:rFonts w:hint="eastAsia" w:ascii="仿宋" w:hAnsi="仿宋" w:eastAsia="仿宋" w:cs="仿宋"/>
          <w:color w:val="auto"/>
          <w:sz w:val="24"/>
          <w:highlight w:val="none"/>
        </w:rPr>
        <w:t>投标人无因违反建设工程法律、法规规定而受到建设行政主管部门红色警示并正在红色警示期间的情况；（由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在《投标及履约承诺函》中作出声明，加盖公章）；</w:t>
      </w:r>
    </w:p>
    <w:p w14:paraId="5ABCE599">
      <w:pPr>
        <w:adjustRightInd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投标人</w:t>
      </w:r>
      <w:r>
        <w:rPr>
          <w:rFonts w:hint="eastAsia" w:ascii="仿宋" w:hAnsi="仿宋" w:eastAsia="仿宋" w:cs="仿宋"/>
          <w:bCs w:val="0"/>
          <w:color w:val="auto"/>
          <w:sz w:val="24"/>
          <w:highlight w:val="none"/>
        </w:rPr>
        <w:t>必须符合国家和深圳市关于诚信管理的要求</w:t>
      </w: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在《</w:t>
      </w:r>
      <w:r>
        <w:rPr>
          <w:rFonts w:hint="eastAsia" w:ascii="仿宋" w:hAnsi="仿宋" w:eastAsia="仿宋" w:cs="仿宋"/>
          <w:color w:val="auto"/>
          <w:sz w:val="24"/>
          <w:highlight w:val="none"/>
          <w:lang w:val="en-US" w:eastAsia="zh-CN"/>
        </w:rPr>
        <w:t>诚信承诺函</w:t>
      </w:r>
      <w:r>
        <w:rPr>
          <w:rFonts w:hint="eastAsia" w:ascii="仿宋" w:hAnsi="仿宋" w:eastAsia="仿宋" w:cs="仿宋"/>
          <w:color w:val="auto"/>
          <w:sz w:val="24"/>
          <w:highlight w:val="none"/>
        </w:rPr>
        <w:t>》中作出声明，加盖公章）</w:t>
      </w:r>
    </w:p>
    <w:p w14:paraId="032563F5">
      <w:pPr>
        <w:adjustRightInd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投标人及其法定代表人参与采购活动前三年内（投标人成立不足三年的可从成立之日起算），在经营活动中无重大违法记录、无行贿犯罪记录、无串通投标、弄虚作假不良行为记录被暂停投标资格期间的情况（由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在《投标及履约承诺函》中作出声明，加盖公章）；</w:t>
      </w:r>
    </w:p>
    <w:p w14:paraId="37BC6497">
      <w:pPr>
        <w:adjustRightInd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ascii="仿宋" w:hAnsi="仿宋" w:eastAsia="仿宋" w:cs="仿宋"/>
          <w:color w:val="auto"/>
          <w:sz w:val="24"/>
          <w:highlight w:val="none"/>
        </w:rPr>
        <w:t>、</w:t>
      </w:r>
      <w:r>
        <w:rPr>
          <w:rFonts w:hint="eastAsia" w:ascii="仿宋" w:hAnsi="仿宋" w:eastAsia="仿宋" w:cs="仿宋"/>
          <w:color w:val="auto"/>
          <w:sz w:val="24"/>
          <w:highlight w:val="none"/>
        </w:rPr>
        <w:t>投标人必须未被列入深圳市宝安交通投资集团有限公司</w:t>
      </w:r>
      <w:r>
        <w:rPr>
          <w:rFonts w:hint="eastAsia" w:ascii="仿宋" w:hAnsi="仿宋" w:eastAsia="仿宋" w:cs="仿宋"/>
          <w:color w:val="auto"/>
          <w:sz w:val="24"/>
          <w:highlight w:val="none"/>
          <w:lang w:val="en-US" w:eastAsia="zh-CN"/>
        </w:rPr>
        <w:t>或</w:t>
      </w:r>
      <w:r>
        <w:rPr>
          <w:rFonts w:hint="eastAsia" w:ascii="仿宋" w:hAnsi="仿宋" w:eastAsia="仿宋" w:cs="仿宋"/>
          <w:color w:val="auto"/>
          <w:sz w:val="24"/>
          <w:highlight w:val="none"/>
        </w:rPr>
        <w:t>招标人</w:t>
      </w: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rPr>
        <w:t>黑名单（由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在《投标及履约承诺函》中作出声明，加盖公章）；</w:t>
      </w:r>
    </w:p>
    <w:p w14:paraId="10CBA2FF">
      <w:pPr>
        <w:adjustRightInd w:val="0"/>
        <w:snapToGrid w:val="0"/>
        <w:spacing w:line="400" w:lineRule="exact"/>
        <w:ind w:firstLine="480" w:firstLineChars="200"/>
        <w:rPr>
          <w:rFonts w:hint="eastAsia" w:ascii="仿宋" w:hAnsi="仿宋" w:eastAsia="仿宋" w:cs="仿宋"/>
          <w:b w:val="0"/>
          <w:bCs w:val="0"/>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投标人不存在下列被认定为</w:t>
      </w:r>
      <w:r>
        <w:rPr>
          <w:rFonts w:hint="eastAsia" w:ascii="仿宋" w:hAnsi="仿宋" w:eastAsia="仿宋" w:cs="仿宋"/>
          <w:color w:val="auto"/>
          <w:sz w:val="24"/>
          <w:highlight w:val="none"/>
          <w:lang w:val="en-US" w:eastAsia="zh-CN"/>
        </w:rPr>
        <w:t>与其他</w:t>
      </w:r>
      <w:r>
        <w:rPr>
          <w:rFonts w:hint="eastAsia" w:ascii="仿宋" w:hAnsi="仿宋" w:eastAsia="仿宋" w:cs="仿宋"/>
          <w:color w:val="auto"/>
          <w:sz w:val="24"/>
          <w:highlight w:val="none"/>
        </w:rPr>
        <w:t>投标人之间存在关联关系的情况</w:t>
      </w:r>
      <w:r>
        <w:rPr>
          <w:rFonts w:hint="eastAsia" w:ascii="仿宋" w:hAnsi="仿宋" w:eastAsia="仿宋" w:cs="仿宋"/>
          <w:color w:val="auto"/>
          <w:sz w:val="24"/>
          <w:highlight w:val="none"/>
          <w:lang w:eastAsia="zh-CN"/>
        </w:rPr>
        <w:t>：</w:t>
      </w:r>
      <w:r>
        <w:rPr>
          <w:rFonts w:hint="eastAsia" w:ascii="仿宋" w:hAnsi="仿宋" w:eastAsia="仿宋" w:cs="仿宋"/>
          <w:b w:val="0"/>
          <w:bCs w:val="0"/>
          <w:color w:val="auto"/>
          <w:sz w:val="24"/>
          <w:highlight w:val="none"/>
          <w:lang w:val="en-US" w:eastAsia="zh-CN"/>
        </w:rPr>
        <w:t>(1)法定代表人为同一人；(2)相互间存在参股、控股关系；(3)存在行政隶属关系</w:t>
      </w:r>
      <w:r>
        <w:rPr>
          <w:rFonts w:hint="eastAsia" w:ascii="仿宋" w:hAnsi="仿宋" w:eastAsia="仿宋" w:cs="仿宋"/>
          <w:b w:val="0"/>
          <w:bCs w:val="0"/>
          <w:color w:val="auto"/>
          <w:sz w:val="24"/>
          <w:highlight w:val="none"/>
        </w:rPr>
        <w:t>。</w:t>
      </w:r>
    </w:p>
    <w:p w14:paraId="6CBA8ECB">
      <w:pPr>
        <w:adjustRightInd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在《投标及履约承诺函》中作出声明，加盖公章）；</w:t>
      </w:r>
    </w:p>
    <w:p w14:paraId="5019AB9A">
      <w:pPr>
        <w:adjustRightInd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、本项目不接受联合体投标，不允许转包、分包（由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在《投标及履约承诺函》中作出声明，加盖公章）</w:t>
      </w:r>
    </w:p>
    <w:p w14:paraId="5D3D8DCA">
      <w:pPr>
        <w:adjustRightInd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三、获取招标文件</w:t>
      </w:r>
    </w:p>
    <w:p w14:paraId="2C67E176">
      <w:pPr>
        <w:adjustRightInd w:val="0"/>
        <w:snapToGrid w:val="0"/>
        <w:spacing w:line="40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1、</w:t>
      </w:r>
      <w:r>
        <w:rPr>
          <w:rFonts w:ascii="仿宋" w:hAnsi="仿宋" w:eastAsia="仿宋" w:cs="仿宋"/>
          <w:b/>
          <w:color w:val="auto"/>
          <w:sz w:val="24"/>
          <w:highlight w:val="none"/>
        </w:rPr>
        <w:t>报名</w:t>
      </w: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lang w:eastAsia="zh-CN"/>
        </w:rPr>
        <w:t>2025</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日起至</w:t>
      </w:r>
      <w:r>
        <w:rPr>
          <w:rFonts w:hint="eastAsia" w:ascii="仿宋" w:hAnsi="仿宋" w:eastAsia="仿宋" w:cs="仿宋"/>
          <w:color w:val="auto"/>
          <w:sz w:val="24"/>
          <w:highlight w:val="none"/>
          <w:lang w:eastAsia="zh-CN"/>
        </w:rPr>
        <w:t>2025</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日止,上午9:00:00-11:30:00,下午14:00:00-17:00:00（公休日及节假日除外，招标文件中时间均为北京时间）；</w:t>
      </w:r>
    </w:p>
    <w:p w14:paraId="43542809">
      <w:pPr>
        <w:adjustRightInd w:val="0"/>
        <w:snapToGrid w:val="0"/>
        <w:spacing w:line="400" w:lineRule="exact"/>
        <w:ind w:firstLine="482" w:firstLineChars="200"/>
        <w:jc w:val="left"/>
        <w:rPr>
          <w:rFonts w:hint="eastAsia" w:ascii="仿宋" w:hAnsi="仿宋" w:eastAsia="仿宋" w:cs="仿宋"/>
          <w:color w:val="auto"/>
          <w:sz w:val="24"/>
          <w:highlight w:val="none"/>
        </w:rPr>
      </w:pPr>
      <w:r>
        <w:rPr>
          <w:rFonts w:ascii="仿宋" w:hAnsi="仿宋" w:eastAsia="仿宋" w:cs="仿宋"/>
          <w:b/>
          <w:color w:val="auto"/>
          <w:sz w:val="24"/>
          <w:highlight w:val="none"/>
        </w:rPr>
        <w:t>2</w:t>
      </w:r>
      <w:r>
        <w:rPr>
          <w:rFonts w:hint="eastAsia" w:ascii="仿宋" w:hAnsi="仿宋" w:eastAsia="仿宋" w:cs="仿宋"/>
          <w:b/>
          <w:color w:val="auto"/>
          <w:sz w:val="24"/>
          <w:highlight w:val="none"/>
        </w:rPr>
        <w:t>、报名方式：</w:t>
      </w:r>
      <w:r>
        <w:rPr>
          <w:rFonts w:hint="eastAsia" w:ascii="仿宋" w:hAnsi="仿宋" w:eastAsia="仿宋" w:cs="仿宋"/>
          <w:color w:val="auto"/>
          <w:sz w:val="24"/>
          <w:highlight w:val="none"/>
        </w:rPr>
        <w:t>线上报名，具体操作请访问“宝安监理官网”，复制打开下列网站链接，查看《关于报名方式的通知》</w:t>
      </w:r>
    </w:p>
    <w:p w14:paraId="50883020">
      <w:pPr>
        <w:adjustRightInd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（http://www.jsgcjl.com/Bidding/201_81/）</w:t>
      </w:r>
    </w:p>
    <w:p w14:paraId="4A56C592">
      <w:pPr>
        <w:adjustRightInd w:val="0"/>
        <w:snapToGrid w:val="0"/>
        <w:spacing w:line="400" w:lineRule="exact"/>
        <w:ind w:firstLine="482" w:firstLineChars="200"/>
        <w:jc w:val="left"/>
        <w:rPr>
          <w:rFonts w:ascii="仿宋" w:hAnsi="仿宋" w:eastAsia="仿宋" w:cs="仿宋"/>
          <w:color w:val="auto"/>
          <w:sz w:val="24"/>
          <w:highlight w:val="none"/>
        </w:rPr>
      </w:pPr>
      <w:r>
        <w:rPr>
          <w:rFonts w:ascii="仿宋" w:hAnsi="仿宋" w:eastAsia="仿宋" w:cs="仿宋"/>
          <w:b/>
          <w:color w:val="auto"/>
          <w:sz w:val="24"/>
          <w:highlight w:val="none"/>
        </w:rPr>
        <w:t>3</w:t>
      </w:r>
      <w:r>
        <w:rPr>
          <w:rFonts w:hint="eastAsia" w:ascii="仿宋" w:hAnsi="仿宋" w:eastAsia="仿宋" w:cs="仿宋"/>
          <w:b/>
          <w:color w:val="auto"/>
          <w:sz w:val="24"/>
          <w:highlight w:val="none"/>
        </w:rPr>
        <w:t>、售价：</w:t>
      </w:r>
      <w:r>
        <w:rPr>
          <w:rFonts w:hint="eastAsia" w:ascii="仿宋" w:hAnsi="仿宋" w:eastAsia="仿宋" w:cs="仿宋"/>
          <w:color w:val="auto"/>
          <w:sz w:val="24"/>
          <w:highlight w:val="none"/>
        </w:rPr>
        <w:t>本招标文件每套售价人民币600元，售后不退；如需邮寄，均以“到付”为邮寄费的付费方式。</w:t>
      </w:r>
    </w:p>
    <w:p w14:paraId="39FC649A">
      <w:pPr>
        <w:adjustRightInd w:val="0"/>
        <w:snapToGrid w:val="0"/>
        <w:spacing w:line="400" w:lineRule="exact"/>
        <w:ind w:firstLine="482" w:firstLineChars="200"/>
        <w:jc w:val="left"/>
        <w:rPr>
          <w:rFonts w:ascii="仿宋" w:hAnsi="仿宋" w:eastAsia="仿宋" w:cs="仿宋"/>
          <w:color w:val="auto"/>
          <w:sz w:val="24"/>
          <w:highlight w:val="none"/>
        </w:rPr>
      </w:pPr>
      <w:r>
        <w:rPr>
          <w:rFonts w:ascii="仿宋" w:hAnsi="仿宋" w:eastAsia="仿宋" w:cs="仿宋"/>
          <w:b/>
          <w:color w:val="auto"/>
          <w:sz w:val="24"/>
          <w:highlight w:val="none"/>
        </w:rPr>
        <w:t>4</w:t>
      </w:r>
      <w:r>
        <w:rPr>
          <w:rFonts w:hint="eastAsia" w:ascii="仿宋" w:hAnsi="仿宋" w:eastAsia="仿宋" w:cs="仿宋"/>
          <w:b/>
          <w:color w:val="auto"/>
          <w:sz w:val="24"/>
          <w:highlight w:val="none"/>
        </w:rPr>
        <w:t>、电话：</w:t>
      </w:r>
      <w:r>
        <w:rPr>
          <w:rFonts w:hint="eastAsia" w:ascii="仿宋" w:hAnsi="仿宋" w:eastAsia="仿宋" w:cs="仿宋"/>
          <w:color w:val="auto"/>
          <w:sz w:val="24"/>
          <w:highlight w:val="none"/>
        </w:rPr>
        <w:t>0755-27755942</w:t>
      </w:r>
    </w:p>
    <w:p w14:paraId="5DAD3F99">
      <w:pPr>
        <w:adjustRightInd w:val="0"/>
        <w:snapToGrid w:val="0"/>
        <w:spacing w:line="40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5、地址：</w:t>
      </w:r>
      <w:r>
        <w:rPr>
          <w:rFonts w:hint="eastAsia" w:ascii="仿宋" w:hAnsi="仿宋" w:eastAsia="仿宋" w:cs="仿宋"/>
          <w:color w:val="auto"/>
          <w:sz w:val="24"/>
          <w:highlight w:val="none"/>
        </w:rPr>
        <w:t>深圳市宝安区大宝路83号美生慧谷科技产业园生谷2楼20</w:t>
      </w:r>
      <w:r>
        <w:rPr>
          <w:rFonts w:hint="eastAsia" w:ascii="仿宋" w:hAnsi="仿宋" w:eastAsia="仿宋" w:cs="仿宋"/>
          <w:color w:val="auto"/>
          <w:sz w:val="24"/>
          <w:highlight w:val="none"/>
          <w:lang w:val="en-US" w:eastAsia="zh-CN"/>
        </w:rPr>
        <w:t>2招标代理所</w:t>
      </w:r>
      <w:r>
        <w:rPr>
          <w:rFonts w:hint="eastAsia" w:ascii="仿宋" w:hAnsi="仿宋" w:eastAsia="仿宋" w:cs="仿宋"/>
          <w:color w:val="auto"/>
          <w:sz w:val="24"/>
          <w:highlight w:val="none"/>
        </w:rPr>
        <w:t>；</w:t>
      </w:r>
    </w:p>
    <w:p w14:paraId="5A9D7697">
      <w:pPr>
        <w:adjustRightInd w:val="0"/>
        <w:snapToGrid w:val="0"/>
        <w:spacing w:line="40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6</w:t>
      </w:r>
      <w:r>
        <w:rPr>
          <w:rFonts w:hint="eastAsia" w:ascii="仿宋" w:hAnsi="仿宋" w:eastAsia="仿宋" w:cs="仿宋"/>
          <w:b/>
          <w:color w:val="auto"/>
          <w:sz w:val="24"/>
          <w:highlight w:val="none"/>
        </w:rPr>
        <w:t>、购买招标文件所需资料：</w:t>
      </w:r>
    </w:p>
    <w:p w14:paraId="3BAC9171">
      <w:pPr>
        <w:adjustRightInd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（1）法定代表人证明书原件及身份证扫描件（加盖公章）；</w:t>
      </w:r>
    </w:p>
    <w:p w14:paraId="407C365A">
      <w:pPr>
        <w:adjustRightInd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（2）法定代表人授权委托书原件及被授权人身份证扫描件（加盖公章）；</w:t>
      </w:r>
    </w:p>
    <w:p w14:paraId="739A951F">
      <w:pPr>
        <w:adjustRightInd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（3）上述“二、投标人资格要求”中第</w:t>
      </w:r>
      <w:r>
        <w:rPr>
          <w:rFonts w:ascii="仿宋" w:hAnsi="仿宋" w:eastAsia="仿宋" w:cs="仿宋"/>
          <w:color w:val="auto"/>
          <w:sz w:val="24"/>
          <w:highlight w:val="none"/>
        </w:rPr>
        <w:t>1</w:t>
      </w:r>
      <w:r>
        <w:rPr>
          <w:rFonts w:hint="eastAsia" w:ascii="仿宋" w:hAnsi="仿宋" w:eastAsia="仿宋" w:cs="仿宋"/>
          <w:color w:val="auto"/>
          <w:sz w:val="24"/>
          <w:highlight w:val="none"/>
        </w:rPr>
        <w:t>项证明文件。</w:t>
      </w:r>
    </w:p>
    <w:p w14:paraId="576F6386">
      <w:pPr>
        <w:adjustRightInd w:val="0"/>
        <w:snapToGrid w:val="0"/>
        <w:spacing w:line="40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7</w:t>
      </w:r>
      <w:r>
        <w:rPr>
          <w:rFonts w:hint="eastAsia" w:ascii="仿宋" w:hAnsi="仿宋" w:eastAsia="仿宋" w:cs="仿宋"/>
          <w:b/>
          <w:color w:val="auto"/>
          <w:sz w:val="24"/>
          <w:highlight w:val="none"/>
        </w:rPr>
        <w:t>、温馨提示：</w:t>
      </w:r>
    </w:p>
    <w:p w14:paraId="3232ECE8">
      <w:pPr>
        <w:adjustRightInd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（1）以上“投标人资格要求”所有材料投标时需同时放入投标文件中作为资格审查材料，投标时若未提供将作无效投标处理。</w:t>
      </w:r>
    </w:p>
    <w:p w14:paraId="1C30A357">
      <w:pPr>
        <w:adjustRightInd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（2）投标报名审核通过后，招标文件电子版将以电子邮件的方式发送到投标报名的邮箱中。</w:t>
      </w:r>
    </w:p>
    <w:p w14:paraId="351B496C">
      <w:pPr>
        <w:adjustRightInd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 开标时间和地点</w:t>
      </w:r>
    </w:p>
    <w:p w14:paraId="72D46154">
      <w:pPr>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1、提交投标文件时间：</w:t>
      </w:r>
      <w:r>
        <w:rPr>
          <w:rFonts w:hint="eastAsia" w:ascii="仿宋" w:hAnsi="仿宋" w:eastAsia="仿宋" w:cs="仿宋"/>
          <w:color w:val="auto"/>
          <w:sz w:val="24"/>
          <w:highlight w:val="none"/>
          <w:lang w:eastAsia="zh-CN"/>
        </w:rPr>
        <w:t>2025</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日</w:t>
      </w:r>
      <w:r>
        <w:rPr>
          <w:rFonts w:hint="eastAsia" w:ascii="仿宋" w:hAnsi="仿宋" w:eastAsia="仿宋" w:cs="仿宋"/>
          <w:color w:val="auto"/>
          <w:sz w:val="24"/>
          <w:highlight w:val="none"/>
          <w:lang w:val="en-US" w:eastAsia="zh-CN"/>
        </w:rPr>
        <w:t>14</w:t>
      </w:r>
      <w:r>
        <w:rPr>
          <w:rFonts w:hint="eastAsia" w:ascii="仿宋" w:hAnsi="仿宋" w:eastAsia="仿宋" w:cs="仿宋"/>
          <w:color w:val="auto"/>
          <w:sz w:val="24"/>
          <w:highlight w:val="none"/>
        </w:rPr>
        <w:t>时</w:t>
      </w:r>
      <w:r>
        <w:rPr>
          <w:rFonts w:hint="eastAsia" w:ascii="仿宋" w:hAnsi="仿宋" w:eastAsia="仿宋" w:cs="仿宋"/>
          <w:color w:val="auto"/>
          <w:sz w:val="24"/>
          <w:highlight w:val="none"/>
          <w:lang w:val="en-US" w:eastAsia="zh-CN"/>
        </w:rPr>
        <w:t>00</w:t>
      </w:r>
      <w:r>
        <w:rPr>
          <w:rFonts w:hint="eastAsia" w:ascii="仿宋" w:hAnsi="仿宋" w:eastAsia="仿宋" w:cs="仿宋"/>
          <w:color w:val="auto"/>
          <w:sz w:val="24"/>
          <w:highlight w:val="none"/>
        </w:rPr>
        <w:t>分00秒-</w:t>
      </w:r>
      <w:r>
        <w:rPr>
          <w:rFonts w:hint="eastAsia" w:ascii="仿宋" w:hAnsi="仿宋" w:eastAsia="仿宋" w:cs="仿宋"/>
          <w:color w:val="auto"/>
          <w:sz w:val="24"/>
          <w:highlight w:val="none"/>
          <w:lang w:val="en-US" w:eastAsia="zh-CN"/>
        </w:rPr>
        <w:t>14</w:t>
      </w:r>
      <w:r>
        <w:rPr>
          <w:rFonts w:hint="eastAsia" w:ascii="仿宋" w:hAnsi="仿宋" w:eastAsia="仿宋" w:cs="仿宋"/>
          <w:color w:val="auto"/>
          <w:sz w:val="24"/>
          <w:highlight w:val="none"/>
        </w:rPr>
        <w:t>时</w:t>
      </w:r>
      <w:r>
        <w:rPr>
          <w:rFonts w:ascii="仿宋" w:hAnsi="仿宋" w:eastAsia="仿宋" w:cs="仿宋"/>
          <w:color w:val="auto"/>
          <w:sz w:val="24"/>
          <w:highlight w:val="none"/>
        </w:rPr>
        <w:t>30</w:t>
      </w:r>
      <w:r>
        <w:rPr>
          <w:rFonts w:hint="eastAsia" w:ascii="仿宋" w:hAnsi="仿宋" w:eastAsia="仿宋" w:cs="仿宋"/>
          <w:color w:val="auto"/>
          <w:sz w:val="24"/>
          <w:highlight w:val="none"/>
        </w:rPr>
        <w:t>分00秒（北京时间）</w:t>
      </w:r>
    </w:p>
    <w:p w14:paraId="4CBAAD26">
      <w:pPr>
        <w:spacing w:line="400" w:lineRule="exact"/>
        <w:ind w:firstLine="482" w:firstLineChars="200"/>
        <w:rPr>
          <w:rFonts w:ascii="仿宋" w:hAnsi="仿宋" w:eastAsia="仿宋" w:cs="仿宋"/>
          <w:color w:val="auto"/>
          <w:sz w:val="24"/>
          <w:highlight w:val="none"/>
        </w:rPr>
      </w:pPr>
      <w:r>
        <w:rPr>
          <w:rFonts w:ascii="仿宋" w:hAnsi="仿宋" w:eastAsia="仿宋" w:cs="仿宋"/>
          <w:b/>
          <w:color w:val="auto"/>
          <w:sz w:val="24"/>
          <w:highlight w:val="none"/>
        </w:rPr>
        <w:t>2、投标截止</w:t>
      </w:r>
      <w:r>
        <w:rPr>
          <w:rFonts w:hint="eastAsia" w:ascii="仿宋" w:hAnsi="仿宋" w:eastAsia="仿宋" w:cs="仿宋"/>
          <w:b/>
          <w:bCs/>
          <w:color w:val="auto"/>
          <w:sz w:val="24"/>
          <w:highlight w:val="none"/>
        </w:rPr>
        <w:t>时间：</w:t>
      </w:r>
      <w:r>
        <w:rPr>
          <w:rFonts w:hint="eastAsia" w:ascii="仿宋" w:hAnsi="仿宋" w:eastAsia="仿宋" w:cs="仿宋"/>
          <w:color w:val="auto"/>
          <w:sz w:val="24"/>
          <w:highlight w:val="none"/>
          <w:lang w:eastAsia="zh-CN"/>
        </w:rPr>
        <w:t>2025</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日</w:t>
      </w:r>
      <w:r>
        <w:rPr>
          <w:rFonts w:hint="eastAsia" w:ascii="仿宋" w:hAnsi="仿宋" w:eastAsia="仿宋" w:cs="仿宋"/>
          <w:color w:val="auto"/>
          <w:sz w:val="24"/>
          <w:highlight w:val="none"/>
          <w:lang w:val="en-US" w:eastAsia="zh-CN"/>
        </w:rPr>
        <w:t>14</w:t>
      </w:r>
      <w:r>
        <w:rPr>
          <w:rFonts w:hint="eastAsia" w:ascii="仿宋" w:hAnsi="仿宋" w:eastAsia="仿宋" w:cs="仿宋"/>
          <w:color w:val="auto"/>
          <w:sz w:val="24"/>
          <w:highlight w:val="none"/>
        </w:rPr>
        <w:t>时</w:t>
      </w:r>
      <w:r>
        <w:rPr>
          <w:rFonts w:ascii="仿宋" w:hAnsi="仿宋" w:eastAsia="仿宋" w:cs="仿宋"/>
          <w:color w:val="auto"/>
          <w:sz w:val="24"/>
          <w:highlight w:val="none"/>
        </w:rPr>
        <w:t>30</w:t>
      </w:r>
      <w:r>
        <w:rPr>
          <w:rFonts w:hint="eastAsia" w:ascii="仿宋" w:hAnsi="仿宋" w:eastAsia="仿宋" w:cs="仿宋"/>
          <w:color w:val="auto"/>
          <w:sz w:val="24"/>
          <w:highlight w:val="none"/>
        </w:rPr>
        <w:t>分00秒（北京时间）</w:t>
      </w:r>
    </w:p>
    <w:p w14:paraId="6E1EDCE0">
      <w:pPr>
        <w:spacing w:line="400" w:lineRule="exact"/>
        <w:ind w:firstLine="482" w:firstLineChars="200"/>
        <w:rPr>
          <w:rFonts w:ascii="仿宋" w:hAnsi="仿宋" w:eastAsia="仿宋" w:cs="仿宋"/>
          <w:iCs/>
          <w:color w:val="auto"/>
          <w:sz w:val="24"/>
          <w:highlight w:val="none"/>
          <w:u w:val="single"/>
        </w:rPr>
      </w:pPr>
      <w:r>
        <w:rPr>
          <w:rFonts w:ascii="仿宋" w:hAnsi="仿宋" w:eastAsia="仿宋" w:cs="仿宋"/>
          <w:b/>
          <w:color w:val="auto"/>
          <w:sz w:val="24"/>
          <w:highlight w:val="none"/>
        </w:rPr>
        <w:t>3、</w:t>
      </w:r>
      <w:r>
        <w:rPr>
          <w:rFonts w:hint="eastAsia" w:ascii="仿宋" w:hAnsi="仿宋" w:eastAsia="仿宋" w:cs="仿宋"/>
          <w:b/>
          <w:color w:val="auto"/>
          <w:sz w:val="24"/>
          <w:highlight w:val="none"/>
        </w:rPr>
        <w:t>开标</w:t>
      </w:r>
      <w:r>
        <w:rPr>
          <w:rFonts w:hint="eastAsia" w:ascii="仿宋" w:hAnsi="仿宋" w:eastAsia="仿宋" w:cs="仿宋"/>
          <w:b/>
          <w:bCs/>
          <w:color w:val="auto"/>
          <w:sz w:val="24"/>
          <w:highlight w:val="none"/>
        </w:rPr>
        <w:t>时间：</w:t>
      </w:r>
      <w:r>
        <w:rPr>
          <w:rFonts w:hint="eastAsia" w:ascii="仿宋" w:hAnsi="仿宋" w:eastAsia="仿宋" w:cs="仿宋"/>
          <w:color w:val="auto"/>
          <w:sz w:val="24"/>
          <w:highlight w:val="none"/>
          <w:lang w:eastAsia="zh-CN"/>
        </w:rPr>
        <w:t>2025</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日</w:t>
      </w:r>
      <w:r>
        <w:rPr>
          <w:rFonts w:hint="eastAsia" w:ascii="仿宋" w:hAnsi="仿宋" w:eastAsia="仿宋" w:cs="仿宋"/>
          <w:color w:val="auto"/>
          <w:sz w:val="24"/>
          <w:highlight w:val="none"/>
          <w:lang w:val="en-US" w:eastAsia="zh-CN"/>
        </w:rPr>
        <w:t>14</w:t>
      </w:r>
      <w:r>
        <w:rPr>
          <w:rFonts w:hint="eastAsia" w:ascii="仿宋" w:hAnsi="仿宋" w:eastAsia="仿宋" w:cs="仿宋"/>
          <w:color w:val="auto"/>
          <w:sz w:val="24"/>
          <w:highlight w:val="none"/>
        </w:rPr>
        <w:t>时</w:t>
      </w:r>
      <w:r>
        <w:rPr>
          <w:rFonts w:ascii="仿宋" w:hAnsi="仿宋" w:eastAsia="仿宋" w:cs="仿宋"/>
          <w:color w:val="auto"/>
          <w:sz w:val="24"/>
          <w:highlight w:val="none"/>
        </w:rPr>
        <w:t>30</w:t>
      </w:r>
      <w:r>
        <w:rPr>
          <w:rFonts w:hint="eastAsia" w:ascii="仿宋" w:hAnsi="仿宋" w:eastAsia="仿宋" w:cs="仿宋"/>
          <w:color w:val="auto"/>
          <w:sz w:val="24"/>
          <w:highlight w:val="none"/>
        </w:rPr>
        <w:t>分00秒（北京时间）</w:t>
      </w:r>
    </w:p>
    <w:p w14:paraId="44AEDFCC">
      <w:pPr>
        <w:spacing w:line="400" w:lineRule="exact"/>
        <w:ind w:firstLine="482" w:firstLineChars="200"/>
        <w:rPr>
          <w:rFonts w:ascii="仿宋" w:hAnsi="仿宋" w:eastAsia="仿宋" w:cs="仿宋"/>
          <w:snapToGrid w:val="0"/>
          <w:color w:val="auto"/>
          <w:sz w:val="24"/>
          <w:highlight w:val="none"/>
          <w:lang w:val="zh-CN"/>
        </w:rPr>
      </w:pPr>
      <w:r>
        <w:rPr>
          <w:rFonts w:ascii="仿宋" w:hAnsi="仿宋" w:eastAsia="仿宋" w:cs="仿宋"/>
          <w:b/>
          <w:color w:val="auto"/>
          <w:sz w:val="24"/>
          <w:highlight w:val="none"/>
        </w:rPr>
        <w:t>4、</w:t>
      </w:r>
      <w:r>
        <w:rPr>
          <w:rFonts w:hint="eastAsia" w:ascii="仿宋" w:hAnsi="仿宋" w:eastAsia="仿宋" w:cs="仿宋"/>
          <w:b/>
          <w:color w:val="auto"/>
          <w:sz w:val="24"/>
          <w:highlight w:val="none"/>
        </w:rPr>
        <w:t>地点：</w:t>
      </w:r>
      <w:r>
        <w:rPr>
          <w:rFonts w:hint="eastAsia" w:ascii="仿宋" w:hAnsi="仿宋" w:eastAsia="仿宋" w:cs="仿宋"/>
          <w:color w:val="auto"/>
          <w:sz w:val="24"/>
          <w:highlight w:val="none"/>
        </w:rPr>
        <w:t>深圳市宝安区大宝路83号美生慧谷科技产业园生谷2楼201</w:t>
      </w:r>
      <w:r>
        <w:rPr>
          <w:rFonts w:hint="eastAsia" w:ascii="仿宋" w:hAnsi="仿宋" w:eastAsia="仿宋" w:cs="仿宋"/>
          <w:color w:val="auto"/>
          <w:sz w:val="24"/>
          <w:highlight w:val="none"/>
          <w:lang w:val="en-US" w:eastAsia="zh-CN"/>
        </w:rPr>
        <w:t>开</w:t>
      </w:r>
      <w:r>
        <w:rPr>
          <w:rFonts w:hint="eastAsia" w:ascii="仿宋" w:hAnsi="仿宋" w:eastAsia="仿宋" w:cs="仿宋"/>
          <w:color w:val="auto"/>
          <w:sz w:val="24"/>
          <w:highlight w:val="none"/>
        </w:rPr>
        <w:t>标室</w:t>
      </w:r>
    </w:p>
    <w:p w14:paraId="0B72C412">
      <w:pPr>
        <w:adjustRightInd w:val="0"/>
        <w:snapToGrid w:val="0"/>
        <w:spacing w:line="400" w:lineRule="exact"/>
        <w:rPr>
          <w:rFonts w:ascii="仿宋" w:hAnsi="仿宋" w:eastAsia="仿宋" w:cs="仿宋"/>
          <w:color w:val="auto"/>
          <w:sz w:val="24"/>
          <w:highlight w:val="none"/>
        </w:rPr>
      </w:pPr>
      <w:r>
        <w:rPr>
          <w:rFonts w:hint="eastAsia" w:ascii="仿宋" w:hAnsi="仿宋" w:eastAsia="仿宋" w:cs="仿宋"/>
          <w:b/>
          <w:color w:val="auto"/>
          <w:sz w:val="24"/>
          <w:highlight w:val="none"/>
        </w:rPr>
        <w:t>五、其他补充事宜：</w:t>
      </w:r>
    </w:p>
    <w:p w14:paraId="69AC5028">
      <w:pPr>
        <w:adjustRightInd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1、澄清及答疑事项：</w:t>
      </w:r>
    </w:p>
    <w:p w14:paraId="5DFCC8F5">
      <w:pPr>
        <w:adjustRightInd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投标人要求</w:t>
      </w:r>
      <w:r>
        <w:rPr>
          <w:rFonts w:hint="eastAsia" w:ascii="仿宋" w:hAnsi="仿宋" w:eastAsia="仿宋" w:cs="仿宋"/>
          <w:color w:val="auto"/>
          <w:sz w:val="24"/>
          <w:highlight w:val="none"/>
          <w:lang w:eastAsia="zh-CN"/>
        </w:rPr>
        <w:t>招标人</w:t>
      </w:r>
      <w:r>
        <w:rPr>
          <w:rFonts w:hint="eastAsia" w:ascii="仿宋" w:hAnsi="仿宋" w:eastAsia="仿宋" w:cs="仿宋"/>
          <w:color w:val="auto"/>
          <w:sz w:val="24"/>
          <w:highlight w:val="none"/>
        </w:rPr>
        <w:t>对招标文件进行澄清的，请于</w:t>
      </w:r>
      <w:r>
        <w:rPr>
          <w:rFonts w:hint="eastAsia" w:ascii="仿宋" w:hAnsi="仿宋" w:eastAsia="仿宋" w:cs="仿宋"/>
          <w:i w:val="0"/>
          <w:iCs w:val="0"/>
          <w:caps w:val="0"/>
          <w:color w:val="auto"/>
          <w:spacing w:val="0"/>
          <w:sz w:val="24"/>
          <w:szCs w:val="24"/>
          <w:highlight w:val="none"/>
          <w:shd w:val="clear"/>
        </w:rPr>
        <w:t>投标截止日五日前</w:t>
      </w:r>
      <w:r>
        <w:rPr>
          <w:rFonts w:hint="eastAsia" w:ascii="仿宋" w:hAnsi="仿宋" w:eastAsia="仿宋" w:cs="仿宋"/>
          <w:color w:val="auto"/>
          <w:sz w:val="24"/>
          <w:highlight w:val="none"/>
        </w:rPr>
        <w:t>，以书面形式加盖单位公章邮件或送达招标代理机构，邮件须电话确认，逾期不予受理。对招标文件进行澄清或者修改的，招标代理机构将以公开发布方式发送给所有潜在投标人。</w:t>
      </w:r>
    </w:p>
    <w:p w14:paraId="0008629D">
      <w:pPr>
        <w:adjustRightInd w:val="0"/>
        <w:snapToGrid w:val="0"/>
        <w:spacing w:line="400" w:lineRule="exact"/>
        <w:ind w:firstLine="480" w:firstLineChars="200"/>
        <w:rPr>
          <w:highlight w:val="none"/>
        </w:rPr>
      </w:pPr>
      <w:r>
        <w:rPr>
          <w:rFonts w:hint="eastAsia" w:ascii="仿宋" w:hAnsi="仿宋" w:eastAsia="仿宋" w:cs="仿宋"/>
          <w:color w:val="000000" w:themeColor="text1"/>
          <w:sz w:val="24"/>
          <w:highlight w:val="none"/>
          <w:lang w:val="en-US" w:eastAsia="zh-CN"/>
          <w14:textFill>
            <w14:solidFill>
              <w14:schemeClr w14:val="tx1"/>
            </w14:solidFill>
          </w14:textFill>
        </w:rPr>
        <w:t>注：</w:t>
      </w:r>
      <w:r>
        <w:rPr>
          <w:rFonts w:hint="eastAsia" w:ascii="仿宋" w:hAnsi="仿宋" w:eastAsia="仿宋" w:cs="仿宋"/>
          <w:color w:val="000000" w:themeColor="text1"/>
          <w:sz w:val="24"/>
          <w:szCs w:val="24"/>
          <w:highlight w:val="none"/>
          <w14:textFill>
            <w14:solidFill>
              <w14:schemeClr w14:val="tx1"/>
            </w14:solidFill>
          </w14:textFill>
        </w:rPr>
        <w:t>本项目为国企采购项目，不属于政府采购范围，不适用政府采购相关法律法规，供应商提出质疑时如引用政府采购相关法律法规作为法律依据的将被退回。逾期提出的澄清要求或质疑将不予受理。</w:t>
      </w:r>
    </w:p>
    <w:p w14:paraId="6C3BDE9A">
      <w:pPr>
        <w:adjustRightInd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2、重要提示：</w:t>
      </w:r>
    </w:p>
    <w:p w14:paraId="6838D79B">
      <w:pPr>
        <w:adjustRightInd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投标人有义务在招标活动期间浏览下述“相关项目信息查询网址”中各网站信息，招标人在相关网站上公布的与本次招标项目有关的信息视为已送达各投标人。招标人恕不再行电话通知各投标人。</w:t>
      </w:r>
    </w:p>
    <w:p w14:paraId="1B34DB3A">
      <w:pPr>
        <w:adjustRightInd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六</w:t>
      </w:r>
      <w:r>
        <w:rPr>
          <w:rFonts w:hint="eastAsia" w:ascii="仿宋" w:hAnsi="仿宋" w:eastAsia="仿宋" w:cs="仿宋"/>
          <w:b/>
          <w:color w:val="auto"/>
          <w:sz w:val="24"/>
          <w:highlight w:val="none"/>
        </w:rPr>
        <w:t>、对本次招标提出询问，请按以下方式联系。</w:t>
      </w:r>
    </w:p>
    <w:p w14:paraId="7B781B45">
      <w:pPr>
        <w:adjustRightInd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eastAsia="zh-CN"/>
        </w:rPr>
        <w:t>招标人</w:t>
      </w:r>
      <w:r>
        <w:rPr>
          <w:rFonts w:hint="eastAsia" w:ascii="仿宋" w:hAnsi="仿宋" w:eastAsia="仿宋" w:cs="仿宋"/>
          <w:b/>
          <w:color w:val="auto"/>
          <w:sz w:val="24"/>
          <w:highlight w:val="none"/>
        </w:rPr>
        <w:t>信息</w:t>
      </w:r>
    </w:p>
    <w:p w14:paraId="291DD9C3">
      <w:pPr>
        <w:adjustRightInd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名    称：深圳市长筑路桥工程有限公司</w:t>
      </w:r>
    </w:p>
    <w:p w14:paraId="23CBEE96">
      <w:pPr>
        <w:adjustRightInd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地    址：深圳市宝安区新城宝民路十二区公路管理中心十七楼</w:t>
      </w:r>
    </w:p>
    <w:p w14:paraId="79D749A6">
      <w:pPr>
        <w:adjustRightInd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联 系 人：</w:t>
      </w:r>
      <w:r>
        <w:rPr>
          <w:rFonts w:ascii="仿宋" w:hAnsi="仿宋" w:eastAsia="仿宋" w:cs="仿宋"/>
          <w:color w:val="auto"/>
          <w:sz w:val="24"/>
          <w:highlight w:val="none"/>
        </w:rPr>
        <w:t xml:space="preserve"> 刘先生</w:t>
      </w:r>
    </w:p>
    <w:p w14:paraId="67E108CB">
      <w:pPr>
        <w:adjustRightInd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联系方式：</w:t>
      </w:r>
      <w:r>
        <w:rPr>
          <w:rFonts w:ascii="仿宋" w:hAnsi="仿宋" w:eastAsia="仿宋" w:cs="仿宋"/>
          <w:color w:val="auto"/>
          <w:sz w:val="24"/>
          <w:highlight w:val="none"/>
        </w:rPr>
        <w:t>0755-27786311</w:t>
      </w:r>
    </w:p>
    <w:p w14:paraId="1B42CB67">
      <w:pPr>
        <w:adjustRightInd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eastAsia="zh-CN"/>
        </w:rPr>
        <w:t>招标代理</w:t>
      </w:r>
      <w:r>
        <w:rPr>
          <w:rFonts w:hint="eastAsia" w:ascii="仿宋" w:hAnsi="仿宋" w:eastAsia="仿宋" w:cs="仿宋"/>
          <w:b/>
          <w:color w:val="auto"/>
          <w:sz w:val="24"/>
          <w:highlight w:val="none"/>
        </w:rPr>
        <w:t>机构信息</w:t>
      </w:r>
    </w:p>
    <w:p w14:paraId="4AC7F4DD">
      <w:pPr>
        <w:adjustRightInd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名    称：深圳市宝安区建设工程监理有限公司</w:t>
      </w:r>
    </w:p>
    <w:p w14:paraId="735B6864">
      <w:pPr>
        <w:adjustRightInd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地    址：深圳市宝安区大宝路83号美生慧谷科技产业园生谷2楼</w:t>
      </w:r>
    </w:p>
    <w:p w14:paraId="1E8D7486">
      <w:pPr>
        <w:adjustRightInd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联系方式：0755-27755942</w:t>
      </w:r>
    </w:p>
    <w:p w14:paraId="477D549D">
      <w:pPr>
        <w:adjustRightInd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3、项目联系方式</w:t>
      </w:r>
    </w:p>
    <w:p w14:paraId="2FC1E54D">
      <w:pPr>
        <w:adjustRightInd w:val="0"/>
        <w:snapToGrid w:val="0"/>
        <w:spacing w:line="400" w:lineRule="exact"/>
        <w:ind w:firstLine="480" w:firstLineChars="200"/>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项目联系人：柯先生、王</w:t>
      </w:r>
      <w:r>
        <w:rPr>
          <w:rFonts w:hint="eastAsia" w:ascii="仿宋" w:hAnsi="仿宋" w:eastAsia="仿宋" w:cs="仿宋"/>
          <w:color w:val="auto"/>
          <w:sz w:val="24"/>
          <w:highlight w:val="none"/>
          <w:lang w:val="en-US" w:eastAsia="zh-CN"/>
        </w:rPr>
        <w:t>女士</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黄先生、张女士</w:t>
      </w:r>
    </w:p>
    <w:p w14:paraId="16C6959C">
      <w:pPr>
        <w:adjustRightInd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电      话：0755-27755942</w:t>
      </w:r>
    </w:p>
    <w:p w14:paraId="23F09034">
      <w:pPr>
        <w:adjustRightInd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4、相关项目信息查询网址</w:t>
      </w:r>
    </w:p>
    <w:p w14:paraId="7DED79C7">
      <w:pPr>
        <w:adjustRightInd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深圳市宝安区建设工程监理有限公司 http://www.jsgcj</w:t>
      </w:r>
      <w:r>
        <w:rPr>
          <w:rFonts w:ascii="仿宋" w:hAnsi="仿宋" w:eastAsia="仿宋" w:cs="仿宋"/>
          <w:color w:val="auto"/>
          <w:sz w:val="24"/>
          <w:highlight w:val="none"/>
        </w:rPr>
        <w:t>l</w:t>
      </w:r>
      <w:r>
        <w:rPr>
          <w:rFonts w:hint="eastAsia" w:ascii="仿宋" w:hAnsi="仿宋" w:eastAsia="仿宋" w:cs="仿宋"/>
          <w:color w:val="auto"/>
          <w:sz w:val="24"/>
          <w:highlight w:val="none"/>
        </w:rPr>
        <w:t>.com/</w:t>
      </w:r>
    </w:p>
    <w:p w14:paraId="11C4C6D0">
      <w:pPr>
        <w:pStyle w:val="120"/>
        <w:spacing w:line="400" w:lineRule="exact"/>
        <w:ind w:firstLine="0" w:firstLineChars="0"/>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七</w:t>
      </w:r>
      <w:r>
        <w:rPr>
          <w:rFonts w:hint="eastAsia" w:ascii="仿宋" w:hAnsi="仿宋" w:eastAsia="仿宋" w:cs="仿宋"/>
          <w:b/>
          <w:color w:val="auto"/>
          <w:sz w:val="24"/>
          <w:highlight w:val="none"/>
        </w:rPr>
        <w:t>、银行账户信息</w:t>
      </w:r>
    </w:p>
    <w:tbl>
      <w:tblPr>
        <w:tblStyle w:val="44"/>
        <w:tblW w:w="740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70"/>
        <w:gridCol w:w="5433"/>
      </w:tblGrid>
      <w:tr w14:paraId="1CDF4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03" w:type="dxa"/>
            <w:gridSpan w:val="2"/>
            <w:tcBorders>
              <w:top w:val="double" w:color="auto" w:sz="4" w:space="0"/>
              <w:left w:val="double" w:color="auto" w:sz="4" w:space="0"/>
              <w:bottom w:val="single" w:color="auto" w:sz="6" w:space="0"/>
              <w:right w:val="double" w:color="auto" w:sz="4" w:space="0"/>
            </w:tcBorders>
            <w:vAlign w:val="center"/>
          </w:tcPr>
          <w:p w14:paraId="3835B484">
            <w:pPr>
              <w:pStyle w:val="120"/>
              <w:spacing w:line="276" w:lineRule="auto"/>
              <w:ind w:firstLine="0" w:firstLineChars="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缴费银行账户信息</w:t>
            </w:r>
          </w:p>
        </w:tc>
      </w:tr>
      <w:tr w14:paraId="2A8B7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70" w:type="dxa"/>
            <w:tcBorders>
              <w:top w:val="single" w:color="C0C0C0" w:sz="6" w:space="0"/>
              <w:left w:val="double" w:color="auto" w:sz="4" w:space="0"/>
              <w:bottom w:val="single" w:color="C0C0C0" w:sz="6" w:space="0"/>
              <w:right w:val="single" w:color="C0C0C0" w:sz="6" w:space="0"/>
            </w:tcBorders>
            <w:vAlign w:val="center"/>
          </w:tcPr>
          <w:p w14:paraId="6BF3B143">
            <w:pPr>
              <w:pStyle w:val="120"/>
              <w:spacing w:line="276" w:lineRule="auto"/>
              <w:ind w:firstLine="42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开户银行</w:t>
            </w:r>
          </w:p>
        </w:tc>
        <w:tc>
          <w:tcPr>
            <w:tcW w:w="5433" w:type="dxa"/>
            <w:tcBorders>
              <w:top w:val="single" w:color="C0C0C0" w:sz="6" w:space="0"/>
              <w:left w:val="single" w:color="C0C0C0" w:sz="6" w:space="0"/>
              <w:bottom w:val="single" w:color="C0C0C0" w:sz="6" w:space="0"/>
              <w:right w:val="double" w:color="auto" w:sz="4" w:space="0"/>
            </w:tcBorders>
            <w:vAlign w:val="center"/>
          </w:tcPr>
          <w:p w14:paraId="1C9852C1">
            <w:pPr>
              <w:pStyle w:val="120"/>
              <w:spacing w:line="276" w:lineRule="auto"/>
              <w:ind w:firstLine="42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平安银行深圳新城支行 </w:t>
            </w:r>
          </w:p>
        </w:tc>
      </w:tr>
      <w:tr w14:paraId="28B81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70" w:type="dxa"/>
            <w:tcBorders>
              <w:top w:val="single" w:color="C0C0C0" w:sz="6" w:space="0"/>
              <w:left w:val="double" w:color="auto" w:sz="4" w:space="0"/>
              <w:bottom w:val="single" w:color="C0C0C0" w:sz="6" w:space="0"/>
              <w:right w:val="single" w:color="C0C0C0" w:sz="6" w:space="0"/>
            </w:tcBorders>
            <w:vAlign w:val="center"/>
          </w:tcPr>
          <w:p w14:paraId="6445624D">
            <w:pPr>
              <w:pStyle w:val="120"/>
              <w:spacing w:line="276" w:lineRule="auto"/>
              <w:ind w:firstLine="42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收款单位</w:t>
            </w:r>
          </w:p>
        </w:tc>
        <w:tc>
          <w:tcPr>
            <w:tcW w:w="5433" w:type="dxa"/>
            <w:tcBorders>
              <w:top w:val="single" w:color="C0C0C0" w:sz="6" w:space="0"/>
              <w:left w:val="single" w:color="C0C0C0" w:sz="6" w:space="0"/>
              <w:bottom w:val="single" w:color="C0C0C0" w:sz="6" w:space="0"/>
              <w:right w:val="double" w:color="auto" w:sz="4" w:space="0"/>
            </w:tcBorders>
            <w:vAlign w:val="center"/>
          </w:tcPr>
          <w:p w14:paraId="1B85119A">
            <w:pPr>
              <w:pStyle w:val="120"/>
              <w:spacing w:line="276" w:lineRule="auto"/>
              <w:ind w:firstLine="42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深圳市宝安区建设工程监理有限公司</w:t>
            </w:r>
          </w:p>
        </w:tc>
      </w:tr>
      <w:tr w14:paraId="410CE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70" w:type="dxa"/>
            <w:tcBorders>
              <w:top w:val="single" w:color="C0C0C0" w:sz="6" w:space="0"/>
              <w:left w:val="double" w:color="auto" w:sz="4" w:space="0"/>
              <w:bottom w:val="double" w:color="auto" w:sz="4" w:space="0"/>
              <w:right w:val="single" w:color="C0C0C0" w:sz="6" w:space="0"/>
            </w:tcBorders>
            <w:vAlign w:val="center"/>
          </w:tcPr>
          <w:p w14:paraId="35519B04">
            <w:pPr>
              <w:pStyle w:val="120"/>
              <w:spacing w:line="276" w:lineRule="auto"/>
              <w:ind w:firstLine="42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银行账号</w:t>
            </w:r>
          </w:p>
        </w:tc>
        <w:tc>
          <w:tcPr>
            <w:tcW w:w="5433" w:type="dxa"/>
            <w:tcBorders>
              <w:top w:val="single" w:color="C0C0C0" w:sz="6" w:space="0"/>
              <w:left w:val="single" w:color="C0C0C0" w:sz="6" w:space="0"/>
              <w:bottom w:val="double" w:color="auto" w:sz="4" w:space="0"/>
              <w:right w:val="double" w:color="auto" w:sz="4" w:space="0"/>
            </w:tcBorders>
            <w:vAlign w:val="center"/>
          </w:tcPr>
          <w:p w14:paraId="38A57176">
            <w:pPr>
              <w:pStyle w:val="120"/>
              <w:spacing w:line="276" w:lineRule="auto"/>
              <w:ind w:firstLine="42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11003856694702</w:t>
            </w:r>
          </w:p>
        </w:tc>
      </w:tr>
    </w:tbl>
    <w:p w14:paraId="2FFCF58E">
      <w:pPr>
        <w:adjustRightInd w:val="0"/>
        <w:snapToGrid w:val="0"/>
        <w:spacing w:line="400" w:lineRule="exact"/>
        <w:jc w:val="left"/>
        <w:rPr>
          <w:rFonts w:ascii="仿宋" w:hAnsi="仿宋" w:eastAsia="仿宋" w:cs="仿宋"/>
          <w:color w:val="auto"/>
          <w:sz w:val="24"/>
          <w:highlight w:val="none"/>
        </w:rPr>
      </w:pPr>
    </w:p>
    <w:p w14:paraId="25923AF3">
      <w:pPr>
        <w:adjustRightInd w:val="0"/>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招标人                               招标代理机构</w:t>
      </w:r>
    </w:p>
    <w:p w14:paraId="189AE77F">
      <w:pPr>
        <w:adjustRightInd w:val="0"/>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深圳市长筑路桥工程有限公司           深圳市宝安区建设工程监理有限公司</w:t>
      </w:r>
    </w:p>
    <w:p w14:paraId="7AF74DBE">
      <w:pPr>
        <w:adjustRightInd w:val="0"/>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202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 xml:space="preserve">日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202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日</w:t>
      </w:r>
    </w:p>
    <w:p w14:paraId="25E9C64E">
      <w:pPr>
        <w:pStyle w:val="4"/>
        <w:pageBreakBefore/>
        <w:spacing w:line="415" w:lineRule="auto"/>
        <w:jc w:val="center"/>
        <w:rPr>
          <w:b/>
          <w:bCs/>
          <w:color w:val="auto"/>
          <w:highlight w:val="none"/>
        </w:rPr>
      </w:pPr>
      <w:bookmarkStart w:id="361" w:name="_Toc4017"/>
      <w:bookmarkStart w:id="362" w:name="_Toc1159"/>
      <w:bookmarkStart w:id="363" w:name="_Toc14091"/>
      <w:bookmarkStart w:id="364" w:name="_Toc3891"/>
      <w:bookmarkStart w:id="365" w:name="_Toc1821"/>
      <w:bookmarkStart w:id="366" w:name="_Toc19114"/>
      <w:bookmarkStart w:id="367" w:name="_Toc21468"/>
      <w:bookmarkStart w:id="368" w:name="_Toc30518"/>
      <w:bookmarkStart w:id="369" w:name="_Toc128564764"/>
      <w:bookmarkStart w:id="370" w:name="_Toc16971"/>
      <w:bookmarkStart w:id="371" w:name="_Toc146"/>
      <w:r>
        <w:rPr>
          <w:rFonts w:hint="eastAsia"/>
          <w:b/>
          <w:bCs/>
          <w:color w:val="auto"/>
          <w:highlight w:val="none"/>
        </w:rPr>
        <w:t>第二章  关键信息</w:t>
      </w:r>
      <w:bookmarkEnd w:id="361"/>
      <w:bookmarkEnd w:id="362"/>
      <w:bookmarkEnd w:id="363"/>
      <w:bookmarkEnd w:id="364"/>
      <w:bookmarkEnd w:id="365"/>
      <w:bookmarkEnd w:id="366"/>
      <w:bookmarkEnd w:id="367"/>
      <w:bookmarkEnd w:id="368"/>
      <w:bookmarkEnd w:id="369"/>
      <w:bookmarkEnd w:id="370"/>
      <w:bookmarkEnd w:id="371"/>
    </w:p>
    <w:p w14:paraId="6C023F97">
      <w:pPr>
        <w:pStyle w:val="5"/>
        <w:jc w:val="center"/>
        <w:rPr>
          <w:rFonts w:ascii="黑体"/>
          <w:b/>
          <w:bCs/>
          <w:color w:val="auto"/>
          <w:sz w:val="28"/>
          <w:szCs w:val="28"/>
          <w:highlight w:val="none"/>
        </w:rPr>
      </w:pPr>
      <w:bookmarkStart w:id="372" w:name="_Toc128564765"/>
      <w:bookmarkStart w:id="373" w:name="_Toc14694"/>
      <w:bookmarkStart w:id="374" w:name="_Toc2427"/>
      <w:bookmarkStart w:id="375" w:name="_Toc29027"/>
      <w:bookmarkStart w:id="376" w:name="_Toc26308"/>
      <w:bookmarkStart w:id="377" w:name="_Toc291"/>
      <w:bookmarkStart w:id="378" w:name="_Toc5792"/>
      <w:bookmarkStart w:id="379" w:name="_Toc10273"/>
      <w:bookmarkStart w:id="380" w:name="_Toc26431"/>
      <w:bookmarkStart w:id="381" w:name="_Toc975"/>
      <w:bookmarkStart w:id="382" w:name="_Toc100319580"/>
      <w:bookmarkStart w:id="383" w:name="_Toc10286"/>
      <w:r>
        <w:rPr>
          <w:rFonts w:hint="eastAsia" w:ascii="黑体"/>
          <w:b/>
          <w:bCs/>
          <w:color w:val="auto"/>
          <w:sz w:val="28"/>
          <w:szCs w:val="28"/>
          <w:highlight w:val="none"/>
        </w:rPr>
        <w:t>表一、投标须知前附表</w:t>
      </w:r>
      <w:bookmarkEnd w:id="372"/>
      <w:bookmarkEnd w:id="373"/>
      <w:bookmarkEnd w:id="374"/>
      <w:bookmarkEnd w:id="375"/>
      <w:bookmarkEnd w:id="376"/>
      <w:bookmarkEnd w:id="377"/>
      <w:bookmarkEnd w:id="378"/>
      <w:bookmarkEnd w:id="379"/>
      <w:bookmarkEnd w:id="380"/>
      <w:bookmarkEnd w:id="381"/>
      <w:bookmarkEnd w:id="382"/>
      <w:bookmarkEnd w:id="383"/>
    </w:p>
    <w:tbl>
      <w:tblPr>
        <w:tblStyle w:val="44"/>
        <w:tblW w:w="8398"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94"/>
        <w:gridCol w:w="992"/>
        <w:gridCol w:w="1985"/>
        <w:gridCol w:w="4727"/>
      </w:tblGrid>
      <w:tr w14:paraId="7A00A4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694" w:type="dxa"/>
            <w:tcBorders>
              <w:right w:val="single" w:color="auto" w:sz="4" w:space="0"/>
            </w:tcBorders>
            <w:vAlign w:val="center"/>
          </w:tcPr>
          <w:p w14:paraId="797E66EE">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992" w:type="dxa"/>
            <w:tcBorders>
              <w:left w:val="single" w:color="auto" w:sz="4" w:space="0"/>
            </w:tcBorders>
            <w:vAlign w:val="center"/>
          </w:tcPr>
          <w:p w14:paraId="725ABD8A">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第一册条款号</w:t>
            </w:r>
          </w:p>
        </w:tc>
        <w:tc>
          <w:tcPr>
            <w:tcW w:w="1985" w:type="dxa"/>
            <w:vAlign w:val="center"/>
          </w:tcPr>
          <w:p w14:paraId="0A31E46B">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内 容</w:t>
            </w:r>
          </w:p>
        </w:tc>
        <w:tc>
          <w:tcPr>
            <w:tcW w:w="4727" w:type="dxa"/>
            <w:vAlign w:val="center"/>
          </w:tcPr>
          <w:p w14:paraId="71E25194">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说明及规定</w:t>
            </w:r>
          </w:p>
        </w:tc>
      </w:tr>
      <w:tr w14:paraId="519D1B6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694" w:type="dxa"/>
            <w:tcBorders>
              <w:right w:val="single" w:color="auto" w:sz="4" w:space="0"/>
            </w:tcBorders>
            <w:vAlign w:val="center"/>
          </w:tcPr>
          <w:p w14:paraId="549BA039">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tcBorders>
              <w:left w:val="single" w:color="auto" w:sz="4" w:space="0"/>
            </w:tcBorders>
            <w:vAlign w:val="center"/>
          </w:tcPr>
          <w:p w14:paraId="1617615D">
            <w:pPr>
              <w:jc w:val="center"/>
              <w:rPr>
                <w:rFonts w:ascii="仿宋" w:hAnsi="仿宋" w:eastAsia="仿宋" w:cs="仿宋"/>
                <w:color w:val="auto"/>
                <w:sz w:val="24"/>
                <w:highlight w:val="none"/>
              </w:rPr>
            </w:pPr>
          </w:p>
        </w:tc>
        <w:tc>
          <w:tcPr>
            <w:tcW w:w="1985" w:type="dxa"/>
            <w:vAlign w:val="center"/>
          </w:tcPr>
          <w:p w14:paraId="4D50C36C">
            <w:pPr>
              <w:rPr>
                <w:rFonts w:ascii="仿宋" w:hAnsi="仿宋" w:eastAsia="仿宋" w:cs="仿宋"/>
                <w:bCs/>
                <w:color w:val="auto"/>
                <w:sz w:val="24"/>
                <w:highlight w:val="none"/>
              </w:rPr>
            </w:pPr>
            <w:r>
              <w:rPr>
                <w:rFonts w:hint="eastAsia" w:ascii="仿宋" w:hAnsi="仿宋" w:eastAsia="仿宋" w:cs="仿宋"/>
                <w:bCs/>
                <w:color w:val="auto"/>
                <w:sz w:val="24"/>
                <w:highlight w:val="none"/>
              </w:rPr>
              <w:t>资金来源</w:t>
            </w:r>
          </w:p>
        </w:tc>
        <w:tc>
          <w:tcPr>
            <w:tcW w:w="4727" w:type="dxa"/>
            <w:vAlign w:val="center"/>
          </w:tcPr>
          <w:p w14:paraId="06D820DA">
            <w:pPr>
              <w:rPr>
                <w:rFonts w:ascii="仿宋" w:hAnsi="仿宋" w:eastAsia="仿宋" w:cs="仿宋"/>
                <w:snapToGrid w:val="0"/>
                <w:color w:val="auto"/>
                <w:kern w:val="0"/>
                <w:sz w:val="24"/>
                <w:highlight w:val="none"/>
                <w:lang w:val="zh-CN"/>
              </w:rPr>
            </w:pPr>
            <w:r>
              <w:rPr>
                <w:rFonts w:hint="eastAsia" w:ascii="仿宋" w:hAnsi="仿宋" w:eastAsia="仿宋" w:cs="仿宋"/>
                <w:snapToGrid w:val="0"/>
                <w:color w:val="auto"/>
                <w:kern w:val="0"/>
                <w:sz w:val="24"/>
                <w:highlight w:val="none"/>
                <w:lang w:val="zh-CN"/>
              </w:rPr>
              <w:t>企业自筹资金100%</w:t>
            </w:r>
          </w:p>
        </w:tc>
      </w:tr>
      <w:tr w14:paraId="3A0E07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694" w:type="dxa"/>
            <w:tcBorders>
              <w:right w:val="single" w:color="auto" w:sz="4" w:space="0"/>
            </w:tcBorders>
            <w:vAlign w:val="center"/>
          </w:tcPr>
          <w:p w14:paraId="276B7E21">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tcBorders>
              <w:left w:val="single" w:color="auto" w:sz="4" w:space="0"/>
            </w:tcBorders>
            <w:vAlign w:val="center"/>
          </w:tcPr>
          <w:p w14:paraId="466D58CE">
            <w:pPr>
              <w:jc w:val="center"/>
              <w:rPr>
                <w:rFonts w:ascii="仿宋" w:hAnsi="仿宋" w:eastAsia="仿宋" w:cs="仿宋"/>
                <w:color w:val="auto"/>
                <w:sz w:val="24"/>
                <w:highlight w:val="none"/>
              </w:rPr>
            </w:pPr>
          </w:p>
        </w:tc>
        <w:tc>
          <w:tcPr>
            <w:tcW w:w="1985" w:type="dxa"/>
            <w:vAlign w:val="center"/>
          </w:tcPr>
          <w:p w14:paraId="2AF8CC07">
            <w:pPr>
              <w:rPr>
                <w:rFonts w:ascii="仿宋" w:hAnsi="仿宋" w:eastAsia="仿宋" w:cs="仿宋"/>
                <w:bCs/>
                <w:color w:val="auto"/>
                <w:sz w:val="24"/>
                <w:highlight w:val="none"/>
              </w:rPr>
            </w:pPr>
            <w:r>
              <w:rPr>
                <w:rFonts w:hint="eastAsia" w:ascii="仿宋" w:hAnsi="仿宋" w:eastAsia="仿宋" w:cs="仿宋"/>
                <w:bCs/>
                <w:color w:val="auto"/>
                <w:sz w:val="24"/>
                <w:highlight w:val="none"/>
              </w:rPr>
              <w:t>项目预算或最高限价</w:t>
            </w:r>
          </w:p>
        </w:tc>
        <w:tc>
          <w:tcPr>
            <w:tcW w:w="4727" w:type="dxa"/>
            <w:vAlign w:val="center"/>
          </w:tcPr>
          <w:p w14:paraId="77ECE90E">
            <w:pPr>
              <w:rPr>
                <w:rFonts w:ascii="仿宋" w:hAnsi="仿宋" w:eastAsia="仿宋" w:cs="仿宋"/>
                <w:kern w:val="0"/>
                <w:sz w:val="24"/>
                <w:highlight w:val="none"/>
              </w:rPr>
            </w:pPr>
            <w:r>
              <w:rPr>
                <w:rFonts w:hint="eastAsia" w:ascii="仿宋" w:hAnsi="仿宋" w:eastAsia="仿宋" w:cs="仿宋"/>
                <w:kern w:val="0"/>
                <w:sz w:val="24"/>
                <w:highlight w:val="none"/>
              </w:rPr>
              <w:t>小写：</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kern w:val="0"/>
                <w:sz w:val="24"/>
                <w:highlight w:val="none"/>
              </w:rPr>
              <w:t>RMB</w:t>
            </w:r>
            <w:r>
              <w:rPr>
                <w:rFonts w:hint="eastAsia" w:ascii="仿宋" w:hAnsi="仿宋" w:eastAsia="仿宋" w:cs="仿宋"/>
                <w:color w:val="000000" w:themeColor="text1"/>
                <w:sz w:val="24"/>
                <w:highlight w:val="none"/>
                <w14:textFill>
                  <w14:solidFill>
                    <w14:schemeClr w14:val="tx1"/>
                  </w14:solidFill>
                </w14:textFill>
              </w:rPr>
              <w:t xml:space="preserve"> </w:t>
            </w:r>
            <w:r>
              <w:rPr>
                <w:rFonts w:hint="eastAsia" w:ascii="仿宋" w:hAnsi="仿宋" w:eastAsia="仿宋" w:cs="仿宋"/>
                <w:color w:val="000000" w:themeColor="text1"/>
                <w:sz w:val="24"/>
                <w:highlight w:val="none"/>
                <w:lang w:val="en-US" w:eastAsia="zh-CN"/>
                <w14:textFill>
                  <w14:solidFill>
                    <w14:schemeClr w14:val="tx1"/>
                  </w14:solidFill>
                </w14:textFill>
              </w:rPr>
              <w:t>15,000,000.00</w:t>
            </w:r>
            <w:r>
              <w:rPr>
                <w:rFonts w:hint="eastAsia" w:ascii="仿宋" w:hAnsi="仿宋" w:eastAsia="仿宋" w:cs="仿宋"/>
                <w:color w:val="000000" w:themeColor="text1"/>
                <w:sz w:val="24"/>
                <w:highlight w:val="none"/>
                <w14:textFill>
                  <w14:solidFill>
                    <w14:schemeClr w14:val="tx1"/>
                  </w14:solidFill>
                </w14:textFill>
              </w:rPr>
              <w:t>元</w:t>
            </w:r>
          </w:p>
          <w:p w14:paraId="3E953069">
            <w:pPr>
              <w:rPr>
                <w:rFonts w:ascii="仿宋" w:hAnsi="仿宋" w:eastAsia="仿宋" w:cs="仿宋"/>
                <w:color w:val="auto"/>
                <w:kern w:val="0"/>
                <w:sz w:val="24"/>
                <w:highlight w:val="none"/>
              </w:rPr>
            </w:pPr>
            <w:r>
              <w:rPr>
                <w:rFonts w:hint="eastAsia" w:ascii="仿宋" w:hAnsi="仿宋" w:eastAsia="仿宋" w:cs="仿宋"/>
                <w:kern w:val="0"/>
                <w:sz w:val="24"/>
                <w:highlight w:val="none"/>
              </w:rPr>
              <w:t>大写：人民币</w:t>
            </w:r>
            <w:r>
              <w:rPr>
                <w:rFonts w:hint="eastAsia" w:ascii="仿宋" w:hAnsi="仿宋" w:eastAsia="仿宋" w:cs="仿宋"/>
                <w:kern w:val="0"/>
                <w:sz w:val="24"/>
                <w:highlight w:val="none"/>
                <w:lang w:val="en-US" w:eastAsia="zh-CN"/>
              </w:rPr>
              <w:t>壹仟伍佰万元整</w:t>
            </w:r>
          </w:p>
        </w:tc>
      </w:tr>
      <w:tr w14:paraId="73AA91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694" w:type="dxa"/>
            <w:tcBorders>
              <w:right w:val="single" w:color="auto" w:sz="4" w:space="0"/>
            </w:tcBorders>
            <w:vAlign w:val="center"/>
          </w:tcPr>
          <w:p w14:paraId="6E618856">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992" w:type="dxa"/>
            <w:tcBorders>
              <w:left w:val="single" w:color="auto" w:sz="4" w:space="0"/>
            </w:tcBorders>
            <w:vAlign w:val="center"/>
          </w:tcPr>
          <w:p w14:paraId="59B7B6AC">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2.10</w:t>
            </w:r>
          </w:p>
        </w:tc>
        <w:tc>
          <w:tcPr>
            <w:tcW w:w="1985" w:type="dxa"/>
            <w:vAlign w:val="center"/>
          </w:tcPr>
          <w:p w14:paraId="135630FF">
            <w:pPr>
              <w:rPr>
                <w:rFonts w:ascii="仿宋" w:hAnsi="仿宋" w:eastAsia="仿宋" w:cs="仿宋"/>
                <w:bCs/>
                <w:color w:val="auto"/>
                <w:sz w:val="24"/>
                <w:highlight w:val="none"/>
              </w:rPr>
            </w:pPr>
            <w:r>
              <w:rPr>
                <w:rFonts w:hint="eastAsia" w:ascii="仿宋" w:hAnsi="仿宋" w:eastAsia="仿宋" w:cs="仿宋"/>
                <w:bCs/>
                <w:color w:val="auto"/>
                <w:sz w:val="24"/>
                <w:highlight w:val="none"/>
              </w:rPr>
              <w:t>项目名称</w:t>
            </w:r>
          </w:p>
        </w:tc>
        <w:tc>
          <w:tcPr>
            <w:tcW w:w="4727" w:type="dxa"/>
            <w:vAlign w:val="center"/>
          </w:tcPr>
          <w:p w14:paraId="6387C002">
            <w:pPr>
              <w:rPr>
                <w:rFonts w:ascii="仿宋" w:hAnsi="仿宋" w:eastAsia="仿宋" w:cs="仿宋"/>
                <w:color w:val="auto"/>
                <w:kern w:val="0"/>
                <w:sz w:val="24"/>
                <w:highlight w:val="none"/>
              </w:rPr>
            </w:pPr>
            <w:r>
              <w:rPr>
                <w:rFonts w:hint="eastAsia" w:ascii="仿宋" w:hAnsi="仿宋" w:eastAsia="仿宋" w:cs="仿宋"/>
                <w:snapToGrid w:val="0"/>
                <w:color w:val="auto"/>
                <w:kern w:val="0"/>
                <w:sz w:val="24"/>
                <w:highlight w:val="none"/>
                <w:lang w:val="zh-CN"/>
              </w:rPr>
              <w:t>2025-2026年日常养护项目交通安全设施专业分包采购</w:t>
            </w:r>
          </w:p>
        </w:tc>
      </w:tr>
      <w:tr w14:paraId="4E7BEF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96" w:hRule="atLeast"/>
        </w:trPr>
        <w:tc>
          <w:tcPr>
            <w:tcW w:w="694" w:type="dxa"/>
            <w:tcBorders>
              <w:right w:val="single" w:color="auto" w:sz="4" w:space="0"/>
            </w:tcBorders>
            <w:vAlign w:val="center"/>
          </w:tcPr>
          <w:p w14:paraId="2B4574D5">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4</w:t>
            </w:r>
          </w:p>
        </w:tc>
        <w:tc>
          <w:tcPr>
            <w:tcW w:w="992" w:type="dxa"/>
            <w:tcBorders>
              <w:left w:val="single" w:color="auto" w:sz="4" w:space="0"/>
            </w:tcBorders>
            <w:vAlign w:val="center"/>
          </w:tcPr>
          <w:p w14:paraId="48FCD136">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3.1</w:t>
            </w:r>
          </w:p>
        </w:tc>
        <w:tc>
          <w:tcPr>
            <w:tcW w:w="1985" w:type="dxa"/>
            <w:vAlign w:val="center"/>
          </w:tcPr>
          <w:p w14:paraId="04C861B7">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投标人的资质（格）要求</w:t>
            </w:r>
          </w:p>
        </w:tc>
        <w:tc>
          <w:tcPr>
            <w:tcW w:w="4727" w:type="dxa"/>
            <w:vAlign w:val="center"/>
          </w:tcPr>
          <w:p w14:paraId="4775CFD9">
            <w:pPr>
              <w:rPr>
                <w:rFonts w:ascii="仿宋" w:hAnsi="仿宋" w:eastAsia="仿宋" w:cs="仿宋"/>
                <w:snapToGrid w:val="0"/>
                <w:color w:val="auto"/>
                <w:kern w:val="0"/>
                <w:sz w:val="24"/>
                <w:highlight w:val="none"/>
                <w:lang w:val="zh-CN"/>
              </w:rPr>
            </w:pPr>
            <w:r>
              <w:rPr>
                <w:rFonts w:hint="eastAsia" w:ascii="仿宋" w:hAnsi="仿宋" w:eastAsia="仿宋" w:cs="仿宋"/>
                <w:snapToGrid w:val="0"/>
                <w:color w:val="auto"/>
                <w:kern w:val="0"/>
                <w:sz w:val="24"/>
                <w:highlight w:val="none"/>
                <w:lang w:val="zh-CN"/>
              </w:rPr>
              <w:t>见招标公告中有关投标人资格要求中的相关内容</w:t>
            </w:r>
          </w:p>
        </w:tc>
      </w:tr>
      <w:tr w14:paraId="58D9CD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694" w:type="dxa"/>
            <w:tcBorders>
              <w:right w:val="single" w:color="auto" w:sz="4" w:space="0"/>
            </w:tcBorders>
            <w:vAlign w:val="center"/>
          </w:tcPr>
          <w:p w14:paraId="7BBBFF5D">
            <w:pPr>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992" w:type="dxa"/>
            <w:tcBorders>
              <w:left w:val="single" w:color="auto" w:sz="4" w:space="0"/>
            </w:tcBorders>
            <w:vAlign w:val="center"/>
          </w:tcPr>
          <w:p w14:paraId="32607875">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18.1</w:t>
            </w:r>
          </w:p>
        </w:tc>
        <w:tc>
          <w:tcPr>
            <w:tcW w:w="1985" w:type="dxa"/>
            <w:vAlign w:val="center"/>
          </w:tcPr>
          <w:p w14:paraId="4E08FB86">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投标文件正副本</w:t>
            </w:r>
          </w:p>
        </w:tc>
        <w:tc>
          <w:tcPr>
            <w:tcW w:w="4727" w:type="dxa"/>
            <w:vAlign w:val="center"/>
          </w:tcPr>
          <w:p w14:paraId="54B72AC2">
            <w:pPr>
              <w:rPr>
                <w:rFonts w:ascii="仿宋" w:hAnsi="仿宋" w:eastAsia="仿宋" w:cs="仿宋"/>
                <w:bCs/>
                <w:color w:val="auto"/>
                <w:sz w:val="24"/>
                <w:highlight w:val="none"/>
              </w:rPr>
            </w:pPr>
            <w:r>
              <w:rPr>
                <w:rFonts w:hint="eastAsia" w:ascii="仿宋" w:hAnsi="仿宋" w:eastAsia="仿宋" w:cs="仿宋"/>
                <w:bCs/>
                <w:color w:val="auto"/>
                <w:sz w:val="24"/>
                <w:highlight w:val="none"/>
              </w:rPr>
              <w:t>1、纸质投标文件（正本一份、副本</w:t>
            </w:r>
            <w:r>
              <w:rPr>
                <w:rFonts w:hint="eastAsia" w:ascii="仿宋" w:hAnsi="仿宋" w:eastAsia="仿宋" w:cs="仿宋"/>
                <w:bCs/>
                <w:color w:val="auto"/>
                <w:sz w:val="24"/>
                <w:highlight w:val="none"/>
                <w:lang w:val="en-US" w:eastAsia="zh-CN"/>
              </w:rPr>
              <w:t>七</w:t>
            </w:r>
            <w:r>
              <w:rPr>
                <w:rFonts w:hint="eastAsia" w:ascii="仿宋" w:hAnsi="仿宋" w:eastAsia="仿宋" w:cs="仿宋"/>
                <w:bCs/>
                <w:color w:val="auto"/>
                <w:sz w:val="24"/>
                <w:highlight w:val="none"/>
              </w:rPr>
              <w:t>份，正本必须加盖公章，副本允许使用正本的复印件）</w:t>
            </w:r>
          </w:p>
          <w:p w14:paraId="49DB5BAC">
            <w:pPr>
              <w:rPr>
                <w:rFonts w:ascii="仿宋" w:hAnsi="仿宋" w:eastAsia="仿宋" w:cs="仿宋"/>
                <w:bCs/>
                <w:color w:val="auto"/>
                <w:sz w:val="24"/>
                <w:highlight w:val="none"/>
              </w:rPr>
            </w:pPr>
            <w:r>
              <w:rPr>
                <w:rFonts w:ascii="仿宋" w:hAnsi="仿宋" w:eastAsia="仿宋" w:cs="仿宋"/>
                <w:bCs/>
                <w:color w:val="auto"/>
                <w:sz w:val="24"/>
                <w:highlight w:val="none"/>
              </w:rPr>
              <w:t>2</w:t>
            </w:r>
            <w:r>
              <w:rPr>
                <w:rFonts w:hint="eastAsia" w:ascii="仿宋" w:hAnsi="仿宋" w:eastAsia="仿宋" w:cs="仿宋"/>
                <w:bCs/>
                <w:color w:val="auto"/>
                <w:sz w:val="24"/>
                <w:highlight w:val="none"/>
              </w:rPr>
              <w:t>、电子投标文件（以光盘</w:t>
            </w:r>
            <w:r>
              <w:rPr>
                <w:rFonts w:hint="eastAsia" w:ascii="仿宋" w:hAnsi="仿宋" w:eastAsia="仿宋" w:cs="仿宋"/>
                <w:bCs/>
                <w:color w:val="auto"/>
                <w:sz w:val="24"/>
                <w:highlight w:val="none"/>
                <w:lang w:val="en-US" w:eastAsia="zh-CN"/>
              </w:rPr>
              <w:t>或</w:t>
            </w:r>
            <w:r>
              <w:rPr>
                <w:rFonts w:hint="eastAsia" w:ascii="仿宋" w:hAnsi="仿宋" w:eastAsia="仿宋" w:cs="仿宋"/>
                <w:bCs/>
                <w:color w:val="auto"/>
                <w:sz w:val="24"/>
                <w:highlight w:val="none"/>
              </w:rPr>
              <w:t>U盘或硬盘等移动存储介质提交的加盖公章的PDF电子投标文件）</w:t>
            </w:r>
          </w:p>
          <w:p w14:paraId="3963B704">
            <w:pPr>
              <w:rPr>
                <w:rFonts w:ascii="仿宋" w:hAnsi="仿宋" w:eastAsia="仿宋" w:cs="仿宋"/>
                <w:snapToGrid w:val="0"/>
                <w:color w:val="auto"/>
                <w:kern w:val="0"/>
                <w:sz w:val="24"/>
                <w:highlight w:val="none"/>
                <w:lang w:val="zh-CN"/>
              </w:rPr>
            </w:pPr>
            <w:r>
              <w:rPr>
                <w:rFonts w:hint="eastAsia" w:ascii="仿宋" w:hAnsi="仿宋" w:eastAsia="仿宋" w:cs="仿宋"/>
                <w:bCs/>
                <w:color w:val="auto"/>
                <w:sz w:val="24"/>
                <w:highlight w:val="none"/>
              </w:rPr>
              <w:t>3、唱标所用的《</w:t>
            </w:r>
            <w:r>
              <w:rPr>
                <w:rFonts w:hint="eastAsia" w:ascii="仿宋" w:hAnsi="仿宋" w:eastAsia="仿宋" w:cs="仿宋"/>
                <w:bCs/>
                <w:color w:val="auto"/>
                <w:sz w:val="24"/>
                <w:highlight w:val="none"/>
                <w:lang w:eastAsia="zh-CN"/>
              </w:rPr>
              <w:t>报价一览表</w:t>
            </w:r>
            <w:r>
              <w:rPr>
                <w:rFonts w:hint="eastAsia" w:ascii="仿宋" w:hAnsi="仿宋" w:eastAsia="仿宋" w:cs="仿宋"/>
                <w:bCs/>
                <w:color w:val="auto"/>
                <w:sz w:val="24"/>
                <w:highlight w:val="none"/>
              </w:rPr>
              <w:t>》（须按招标文件要求填写，并单独密封盖章；该表内容应与投标文件中的《</w:t>
            </w:r>
            <w:r>
              <w:rPr>
                <w:rFonts w:hint="eastAsia" w:ascii="仿宋" w:hAnsi="仿宋" w:eastAsia="仿宋" w:cs="仿宋"/>
                <w:bCs/>
                <w:color w:val="auto"/>
                <w:sz w:val="24"/>
                <w:highlight w:val="none"/>
                <w:lang w:eastAsia="zh-CN"/>
              </w:rPr>
              <w:t>报价一览表</w:t>
            </w:r>
            <w:r>
              <w:rPr>
                <w:rFonts w:hint="eastAsia" w:ascii="仿宋" w:hAnsi="仿宋" w:eastAsia="仿宋" w:cs="仿宋"/>
                <w:bCs/>
                <w:color w:val="auto"/>
                <w:sz w:val="24"/>
                <w:highlight w:val="none"/>
              </w:rPr>
              <w:t>》内容一致；如有差异，以唱标所用的《</w:t>
            </w:r>
            <w:r>
              <w:rPr>
                <w:rFonts w:hint="eastAsia" w:ascii="仿宋" w:hAnsi="仿宋" w:eastAsia="仿宋" w:cs="仿宋"/>
                <w:bCs/>
                <w:color w:val="auto"/>
                <w:sz w:val="24"/>
                <w:highlight w:val="none"/>
                <w:lang w:eastAsia="zh-CN"/>
              </w:rPr>
              <w:t>报价一览表</w:t>
            </w:r>
            <w:r>
              <w:rPr>
                <w:rFonts w:hint="eastAsia" w:ascii="仿宋" w:hAnsi="仿宋" w:eastAsia="仿宋" w:cs="仿宋"/>
                <w:bCs/>
                <w:color w:val="auto"/>
                <w:sz w:val="24"/>
                <w:highlight w:val="none"/>
              </w:rPr>
              <w:t>》内容为准）</w:t>
            </w:r>
          </w:p>
        </w:tc>
      </w:tr>
      <w:tr w14:paraId="3DBD0D5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694" w:type="dxa"/>
            <w:tcBorders>
              <w:right w:val="single" w:color="auto" w:sz="4" w:space="0"/>
            </w:tcBorders>
            <w:vAlign w:val="center"/>
          </w:tcPr>
          <w:p w14:paraId="6E77B8DD">
            <w:pPr>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992" w:type="dxa"/>
            <w:tcBorders>
              <w:left w:val="single" w:color="auto" w:sz="4" w:space="0"/>
            </w:tcBorders>
            <w:vAlign w:val="center"/>
          </w:tcPr>
          <w:p w14:paraId="2B98A500">
            <w:pPr>
              <w:jc w:val="center"/>
              <w:rPr>
                <w:rFonts w:ascii="仿宋" w:hAnsi="仿宋" w:eastAsia="仿宋" w:cs="仿宋"/>
                <w:color w:val="auto"/>
                <w:sz w:val="24"/>
                <w:highlight w:val="none"/>
              </w:rPr>
            </w:pPr>
          </w:p>
        </w:tc>
        <w:tc>
          <w:tcPr>
            <w:tcW w:w="1985" w:type="dxa"/>
            <w:vAlign w:val="center"/>
          </w:tcPr>
          <w:p w14:paraId="291B64B7">
            <w:pPr>
              <w:rPr>
                <w:rFonts w:ascii="仿宋" w:hAnsi="仿宋" w:eastAsia="仿宋" w:cs="仿宋"/>
                <w:bCs/>
                <w:color w:val="auto"/>
                <w:sz w:val="24"/>
                <w:highlight w:val="none"/>
              </w:rPr>
            </w:pPr>
            <w:r>
              <w:rPr>
                <w:rFonts w:hint="eastAsia" w:ascii="仿宋" w:hAnsi="仿宋" w:eastAsia="仿宋" w:cs="仿宋"/>
                <w:bCs/>
                <w:color w:val="auto"/>
                <w:sz w:val="24"/>
                <w:highlight w:val="none"/>
              </w:rPr>
              <w:t>交货/完工/服务期限</w:t>
            </w:r>
          </w:p>
        </w:tc>
        <w:tc>
          <w:tcPr>
            <w:tcW w:w="4727" w:type="dxa"/>
            <w:vAlign w:val="center"/>
          </w:tcPr>
          <w:p w14:paraId="5794F9BA">
            <w:pPr>
              <w:rPr>
                <w:rFonts w:ascii="仿宋" w:hAnsi="仿宋" w:eastAsia="仿宋" w:cs="仿宋"/>
                <w:snapToGrid w:val="0"/>
                <w:color w:val="auto"/>
                <w:kern w:val="0"/>
                <w:sz w:val="24"/>
                <w:highlight w:val="none"/>
                <w:lang w:val="zh-CN"/>
              </w:rPr>
            </w:pPr>
            <w:r>
              <w:rPr>
                <w:rFonts w:hint="eastAsia" w:ascii="仿宋" w:hAnsi="仿宋" w:eastAsia="仿宋" w:cs="仿宋"/>
                <w:snapToGrid w:val="0"/>
                <w:color w:val="auto"/>
                <w:kern w:val="0"/>
                <w:sz w:val="24"/>
                <w:highlight w:val="none"/>
                <w:lang w:val="zh-CN"/>
              </w:rPr>
              <w:t>见后述招标有关要求</w:t>
            </w:r>
          </w:p>
        </w:tc>
      </w:tr>
      <w:tr w14:paraId="71467A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694" w:type="dxa"/>
            <w:tcBorders>
              <w:right w:val="single" w:color="auto" w:sz="4" w:space="0"/>
            </w:tcBorders>
            <w:vAlign w:val="center"/>
          </w:tcPr>
          <w:p w14:paraId="65C2CDFC">
            <w:pPr>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992" w:type="dxa"/>
            <w:tcBorders>
              <w:left w:val="single" w:color="auto" w:sz="4" w:space="0"/>
            </w:tcBorders>
            <w:vAlign w:val="center"/>
          </w:tcPr>
          <w:p w14:paraId="6C76583F">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28.2</w:t>
            </w:r>
          </w:p>
        </w:tc>
        <w:tc>
          <w:tcPr>
            <w:tcW w:w="1985" w:type="dxa"/>
            <w:vAlign w:val="center"/>
          </w:tcPr>
          <w:p w14:paraId="27EF1256">
            <w:pPr>
              <w:rPr>
                <w:rFonts w:ascii="仿宋" w:hAnsi="仿宋" w:eastAsia="仿宋" w:cs="仿宋"/>
                <w:bCs/>
                <w:color w:val="auto"/>
                <w:sz w:val="24"/>
                <w:highlight w:val="none"/>
              </w:rPr>
            </w:pPr>
            <w:r>
              <w:rPr>
                <w:rFonts w:hint="eastAsia" w:ascii="仿宋" w:hAnsi="仿宋" w:eastAsia="仿宋" w:cs="仿宋"/>
                <w:bCs/>
                <w:color w:val="auto"/>
                <w:sz w:val="24"/>
                <w:highlight w:val="none"/>
              </w:rPr>
              <w:t>评标方法</w:t>
            </w:r>
          </w:p>
        </w:tc>
        <w:tc>
          <w:tcPr>
            <w:tcW w:w="4727" w:type="dxa"/>
            <w:vAlign w:val="center"/>
          </w:tcPr>
          <w:p w14:paraId="4A294551">
            <w:pPr>
              <w:rPr>
                <w:rFonts w:ascii="仿宋" w:hAnsi="仿宋" w:eastAsia="仿宋" w:cs="仿宋"/>
                <w:snapToGrid w:val="0"/>
                <w:color w:val="auto"/>
                <w:kern w:val="0"/>
                <w:sz w:val="24"/>
                <w:highlight w:val="none"/>
                <w:lang w:val="zh-CN"/>
              </w:rPr>
            </w:pPr>
            <w:r>
              <w:rPr>
                <w:rFonts w:hint="eastAsia" w:ascii="仿宋" w:hAnsi="仿宋" w:eastAsia="仿宋" w:cs="仿宋"/>
                <w:color w:val="auto"/>
                <w:sz w:val="24"/>
                <w:highlight w:val="none"/>
              </w:rPr>
              <w:t>综合评分法</w:t>
            </w:r>
          </w:p>
        </w:tc>
      </w:tr>
      <w:tr w14:paraId="50A5BB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02" w:hRule="atLeast"/>
        </w:trPr>
        <w:tc>
          <w:tcPr>
            <w:tcW w:w="694" w:type="dxa"/>
            <w:tcBorders>
              <w:right w:val="single" w:color="auto" w:sz="4" w:space="0"/>
            </w:tcBorders>
            <w:vAlign w:val="center"/>
          </w:tcPr>
          <w:p w14:paraId="2AA1E6A9">
            <w:pPr>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992" w:type="dxa"/>
            <w:tcBorders>
              <w:left w:val="single" w:color="auto" w:sz="4" w:space="0"/>
            </w:tcBorders>
            <w:vAlign w:val="center"/>
          </w:tcPr>
          <w:p w14:paraId="58272FB1">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14.1</w:t>
            </w:r>
          </w:p>
        </w:tc>
        <w:tc>
          <w:tcPr>
            <w:tcW w:w="1985" w:type="dxa"/>
            <w:vAlign w:val="center"/>
          </w:tcPr>
          <w:p w14:paraId="02E77198">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投标币种</w:t>
            </w:r>
          </w:p>
        </w:tc>
        <w:tc>
          <w:tcPr>
            <w:tcW w:w="4727" w:type="dxa"/>
            <w:vAlign w:val="center"/>
          </w:tcPr>
          <w:p w14:paraId="23FD25D8">
            <w:pPr>
              <w:rPr>
                <w:rFonts w:ascii="仿宋" w:hAnsi="仿宋" w:eastAsia="仿宋" w:cs="仿宋"/>
                <w:snapToGrid w:val="0"/>
                <w:color w:val="auto"/>
                <w:kern w:val="0"/>
                <w:sz w:val="24"/>
                <w:highlight w:val="none"/>
                <w:lang w:val="zh-CN"/>
              </w:rPr>
            </w:pPr>
            <w:r>
              <w:rPr>
                <w:rFonts w:hint="eastAsia" w:ascii="仿宋" w:hAnsi="仿宋" w:eastAsia="仿宋" w:cs="仿宋"/>
                <w:snapToGrid w:val="0"/>
                <w:color w:val="auto"/>
                <w:kern w:val="0"/>
                <w:sz w:val="24"/>
                <w:highlight w:val="none"/>
                <w:lang w:val="zh-CN"/>
              </w:rPr>
              <w:t>人民币</w:t>
            </w:r>
          </w:p>
        </w:tc>
      </w:tr>
      <w:tr w14:paraId="0C7BEB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694" w:type="dxa"/>
            <w:tcBorders>
              <w:right w:val="single" w:color="auto" w:sz="4" w:space="0"/>
            </w:tcBorders>
            <w:vAlign w:val="center"/>
          </w:tcPr>
          <w:p w14:paraId="55324144">
            <w:pPr>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992" w:type="dxa"/>
            <w:tcBorders>
              <w:left w:val="single" w:color="auto" w:sz="4" w:space="0"/>
            </w:tcBorders>
            <w:vAlign w:val="center"/>
          </w:tcPr>
          <w:p w14:paraId="2F647262">
            <w:pPr>
              <w:jc w:val="center"/>
              <w:rPr>
                <w:rFonts w:ascii="仿宋" w:hAnsi="仿宋" w:eastAsia="仿宋" w:cs="仿宋"/>
                <w:color w:val="auto"/>
                <w:sz w:val="24"/>
                <w:highlight w:val="none"/>
              </w:rPr>
            </w:pPr>
            <w:r>
              <w:rPr>
                <w:rFonts w:hint="eastAsia" w:ascii="仿宋" w:hAnsi="仿宋" w:eastAsia="仿宋" w:cs="仿宋"/>
                <w:color w:val="auto"/>
                <w:sz w:val="24"/>
                <w:highlight w:val="none"/>
              </w:rPr>
              <w:t>4.1</w:t>
            </w:r>
          </w:p>
        </w:tc>
        <w:tc>
          <w:tcPr>
            <w:tcW w:w="1985" w:type="dxa"/>
            <w:vAlign w:val="center"/>
          </w:tcPr>
          <w:p w14:paraId="41E84A0D">
            <w:pPr>
              <w:rPr>
                <w:rFonts w:ascii="仿宋" w:hAnsi="仿宋" w:eastAsia="仿宋" w:cs="仿宋"/>
                <w:color w:val="auto"/>
                <w:sz w:val="24"/>
                <w:highlight w:val="none"/>
              </w:rPr>
            </w:pPr>
            <w:r>
              <w:rPr>
                <w:rFonts w:hint="eastAsia" w:ascii="仿宋" w:hAnsi="仿宋" w:eastAsia="仿宋" w:cs="仿宋"/>
                <w:color w:val="auto"/>
                <w:sz w:val="24"/>
                <w:highlight w:val="none"/>
              </w:rPr>
              <w:t>联合体投标</w:t>
            </w:r>
          </w:p>
        </w:tc>
        <w:tc>
          <w:tcPr>
            <w:tcW w:w="4727" w:type="dxa"/>
            <w:vAlign w:val="center"/>
          </w:tcPr>
          <w:p w14:paraId="248D8C63">
            <w:pPr>
              <w:rPr>
                <w:rFonts w:ascii="仿宋" w:hAnsi="仿宋" w:eastAsia="仿宋" w:cs="仿宋"/>
                <w:snapToGrid w:val="0"/>
                <w:color w:val="auto"/>
                <w:kern w:val="0"/>
                <w:sz w:val="24"/>
                <w:highlight w:val="none"/>
                <w:lang w:val="zh-CN"/>
              </w:rPr>
            </w:pPr>
            <w:r>
              <w:rPr>
                <w:rFonts w:hint="eastAsia" w:ascii="仿宋" w:hAnsi="仿宋" w:eastAsia="仿宋" w:cs="仿宋"/>
                <w:snapToGrid w:val="0"/>
                <w:color w:val="auto"/>
                <w:kern w:val="0"/>
                <w:sz w:val="24"/>
                <w:highlight w:val="none"/>
                <w:lang w:val="zh-CN"/>
              </w:rPr>
              <w:t>不允许</w:t>
            </w:r>
          </w:p>
        </w:tc>
      </w:tr>
      <w:tr w14:paraId="23DA27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694" w:type="dxa"/>
            <w:tcBorders>
              <w:right w:val="single" w:color="auto" w:sz="4" w:space="0"/>
            </w:tcBorders>
            <w:vAlign w:val="center"/>
          </w:tcPr>
          <w:p w14:paraId="28E2FEC3">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992" w:type="dxa"/>
            <w:tcBorders>
              <w:left w:val="single" w:color="auto" w:sz="4" w:space="0"/>
            </w:tcBorders>
            <w:vAlign w:val="center"/>
          </w:tcPr>
          <w:p w14:paraId="6A264467">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15.1</w:t>
            </w:r>
          </w:p>
        </w:tc>
        <w:tc>
          <w:tcPr>
            <w:tcW w:w="1985" w:type="dxa"/>
            <w:vAlign w:val="center"/>
          </w:tcPr>
          <w:p w14:paraId="5A53B430">
            <w:pPr>
              <w:rPr>
                <w:rFonts w:ascii="仿宋" w:hAnsi="仿宋" w:eastAsia="仿宋" w:cs="仿宋"/>
                <w:color w:val="auto"/>
                <w:sz w:val="24"/>
                <w:highlight w:val="none"/>
              </w:rPr>
            </w:pPr>
            <w:r>
              <w:rPr>
                <w:rFonts w:hint="eastAsia" w:ascii="仿宋" w:hAnsi="仿宋" w:eastAsia="仿宋" w:cs="仿宋"/>
                <w:color w:val="auto"/>
                <w:sz w:val="24"/>
                <w:highlight w:val="none"/>
              </w:rPr>
              <w:t>投标有效期</w:t>
            </w:r>
          </w:p>
        </w:tc>
        <w:tc>
          <w:tcPr>
            <w:tcW w:w="4727" w:type="dxa"/>
            <w:vAlign w:val="center"/>
          </w:tcPr>
          <w:p w14:paraId="72984680">
            <w:pPr>
              <w:rPr>
                <w:rFonts w:ascii="仿宋" w:hAnsi="仿宋" w:eastAsia="仿宋" w:cs="仿宋"/>
                <w:color w:val="auto"/>
                <w:sz w:val="24"/>
                <w:highlight w:val="none"/>
              </w:rPr>
            </w:pPr>
            <w:r>
              <w:rPr>
                <w:rFonts w:hint="eastAsia" w:ascii="仿宋" w:hAnsi="仿宋" w:eastAsia="仿宋" w:cs="仿宋"/>
                <w:color w:val="auto"/>
                <w:sz w:val="24"/>
                <w:highlight w:val="none"/>
              </w:rPr>
              <w:t>120个日历天（从投标截止之日算起）</w:t>
            </w:r>
          </w:p>
        </w:tc>
      </w:tr>
      <w:tr w14:paraId="1EE4EA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694" w:type="dxa"/>
            <w:tcBorders>
              <w:right w:val="single" w:color="auto" w:sz="4" w:space="0"/>
            </w:tcBorders>
            <w:vAlign w:val="center"/>
          </w:tcPr>
          <w:p w14:paraId="035AAB07">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992" w:type="dxa"/>
            <w:tcBorders>
              <w:left w:val="single" w:color="auto" w:sz="4" w:space="0"/>
            </w:tcBorders>
            <w:vAlign w:val="center"/>
          </w:tcPr>
          <w:p w14:paraId="477A5E1D">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16.1</w:t>
            </w:r>
          </w:p>
        </w:tc>
        <w:tc>
          <w:tcPr>
            <w:tcW w:w="1985" w:type="dxa"/>
            <w:vAlign w:val="center"/>
          </w:tcPr>
          <w:p w14:paraId="3FA6BE43">
            <w:pPr>
              <w:rPr>
                <w:rFonts w:ascii="仿宋" w:hAnsi="仿宋" w:eastAsia="仿宋" w:cs="仿宋"/>
                <w:color w:val="auto"/>
                <w:sz w:val="24"/>
                <w:highlight w:val="none"/>
              </w:rPr>
            </w:pPr>
            <w:r>
              <w:rPr>
                <w:rFonts w:hint="eastAsia" w:ascii="仿宋" w:hAnsi="仿宋" w:eastAsia="仿宋" w:cs="仿宋"/>
                <w:color w:val="auto"/>
                <w:sz w:val="24"/>
                <w:highlight w:val="none"/>
              </w:rPr>
              <w:t>投标人的替代方案</w:t>
            </w:r>
          </w:p>
        </w:tc>
        <w:tc>
          <w:tcPr>
            <w:tcW w:w="4727" w:type="dxa"/>
            <w:vAlign w:val="center"/>
          </w:tcPr>
          <w:p w14:paraId="15198CFA">
            <w:pPr>
              <w:rPr>
                <w:rFonts w:ascii="仿宋" w:hAnsi="仿宋" w:eastAsia="仿宋" w:cs="仿宋"/>
                <w:color w:val="auto"/>
                <w:sz w:val="24"/>
                <w:highlight w:val="none"/>
              </w:rPr>
            </w:pPr>
            <w:r>
              <w:rPr>
                <w:rFonts w:hint="eastAsia" w:ascii="仿宋" w:hAnsi="仿宋" w:eastAsia="仿宋" w:cs="仿宋"/>
                <w:color w:val="auto"/>
                <w:sz w:val="24"/>
                <w:highlight w:val="none"/>
              </w:rPr>
              <w:t>不允许</w:t>
            </w:r>
          </w:p>
        </w:tc>
      </w:tr>
      <w:tr w14:paraId="0D8B2F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694" w:type="dxa"/>
            <w:tcBorders>
              <w:right w:val="single" w:color="auto" w:sz="4" w:space="0"/>
            </w:tcBorders>
            <w:vAlign w:val="center"/>
          </w:tcPr>
          <w:p w14:paraId="7ED8F4BC">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992" w:type="dxa"/>
            <w:tcBorders>
              <w:left w:val="single" w:color="auto" w:sz="4" w:space="0"/>
            </w:tcBorders>
            <w:vAlign w:val="center"/>
          </w:tcPr>
          <w:p w14:paraId="721A2D95">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1985" w:type="dxa"/>
            <w:vAlign w:val="center"/>
          </w:tcPr>
          <w:p w14:paraId="18AF7467">
            <w:pPr>
              <w:rPr>
                <w:rFonts w:ascii="仿宋" w:hAnsi="仿宋" w:eastAsia="仿宋" w:cs="仿宋"/>
                <w:color w:val="auto"/>
                <w:sz w:val="24"/>
                <w:highlight w:val="none"/>
              </w:rPr>
            </w:pPr>
            <w:r>
              <w:rPr>
                <w:rFonts w:hint="eastAsia" w:ascii="仿宋" w:hAnsi="仿宋" w:eastAsia="仿宋" w:cs="仿宋"/>
                <w:color w:val="auto"/>
                <w:sz w:val="24"/>
                <w:highlight w:val="none"/>
              </w:rPr>
              <w:t>投标保证金</w:t>
            </w:r>
          </w:p>
        </w:tc>
        <w:tc>
          <w:tcPr>
            <w:tcW w:w="4727" w:type="dxa"/>
            <w:vAlign w:val="center"/>
          </w:tcPr>
          <w:p w14:paraId="1BFE4D7B">
            <w:pPr>
              <w:rPr>
                <w:rFonts w:ascii="仿宋" w:hAnsi="仿宋" w:eastAsia="仿宋" w:cs="仿宋"/>
                <w:color w:val="auto"/>
                <w:sz w:val="24"/>
                <w:highlight w:val="none"/>
              </w:rPr>
            </w:pPr>
            <w:r>
              <w:rPr>
                <w:rFonts w:hint="eastAsia" w:ascii="仿宋" w:hAnsi="仿宋" w:eastAsia="仿宋" w:cs="仿宋"/>
                <w:sz w:val="24"/>
                <w:highlight w:val="none"/>
              </w:rPr>
              <w:t>投标保证金为人民币</w:t>
            </w:r>
            <w:r>
              <w:rPr>
                <w:rFonts w:hint="eastAsia" w:ascii="仿宋" w:hAnsi="仿宋" w:eastAsia="仿宋" w:cs="仿宋"/>
                <w:sz w:val="24"/>
                <w:highlight w:val="none"/>
                <w:lang w:val="en-US" w:eastAsia="zh-CN"/>
              </w:rPr>
              <w:t>伍</w:t>
            </w:r>
            <w:r>
              <w:rPr>
                <w:rFonts w:hint="eastAsia" w:ascii="仿宋" w:hAnsi="仿宋" w:eastAsia="仿宋" w:cs="仿宋"/>
                <w:sz w:val="24"/>
                <w:highlight w:val="none"/>
              </w:rPr>
              <w:t>万元整；投标保证金应在投标截止日后</w:t>
            </w:r>
            <w:r>
              <w:rPr>
                <w:rFonts w:hint="eastAsia" w:ascii="仿宋" w:hAnsi="仿宋" w:eastAsia="仿宋" w:cs="仿宋"/>
                <w:sz w:val="24"/>
                <w:highlight w:val="none"/>
                <w:lang w:val="en-US" w:eastAsia="zh-CN"/>
              </w:rPr>
              <w:t>一百二十</w:t>
            </w:r>
            <w:r>
              <w:rPr>
                <w:rFonts w:hint="eastAsia" w:ascii="仿宋" w:hAnsi="仿宋" w:eastAsia="仿宋" w:cs="仿宋"/>
                <w:sz w:val="24"/>
                <w:highlight w:val="none"/>
              </w:rPr>
              <w:t>天内保持有效</w:t>
            </w:r>
          </w:p>
        </w:tc>
      </w:tr>
      <w:tr w14:paraId="3DADFD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90" w:hRule="atLeast"/>
        </w:trPr>
        <w:tc>
          <w:tcPr>
            <w:tcW w:w="694" w:type="dxa"/>
            <w:tcBorders>
              <w:right w:val="single" w:color="auto" w:sz="4" w:space="0"/>
            </w:tcBorders>
            <w:vAlign w:val="center"/>
          </w:tcPr>
          <w:p w14:paraId="144A65D9">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992" w:type="dxa"/>
            <w:tcBorders>
              <w:left w:val="single" w:color="auto" w:sz="4" w:space="0"/>
            </w:tcBorders>
            <w:vAlign w:val="center"/>
          </w:tcPr>
          <w:p w14:paraId="4B7E5C71">
            <w:pPr>
              <w:jc w:val="center"/>
              <w:rPr>
                <w:rFonts w:ascii="仿宋" w:hAnsi="仿宋" w:eastAsia="仿宋" w:cs="仿宋"/>
                <w:color w:val="auto"/>
                <w:sz w:val="24"/>
                <w:highlight w:val="none"/>
              </w:rPr>
            </w:pPr>
            <w:r>
              <w:rPr>
                <w:rFonts w:hint="eastAsia" w:ascii="仿宋" w:hAnsi="仿宋" w:eastAsia="仿宋" w:cs="仿宋"/>
                <w:color w:val="auto"/>
                <w:sz w:val="24"/>
                <w:highlight w:val="none"/>
              </w:rPr>
              <w:t>6.1</w:t>
            </w:r>
          </w:p>
        </w:tc>
        <w:tc>
          <w:tcPr>
            <w:tcW w:w="1985" w:type="dxa"/>
            <w:vAlign w:val="center"/>
          </w:tcPr>
          <w:p w14:paraId="537CF737">
            <w:pPr>
              <w:rPr>
                <w:rFonts w:ascii="仿宋" w:hAnsi="仿宋" w:eastAsia="仿宋" w:cs="仿宋"/>
                <w:color w:val="auto"/>
                <w:sz w:val="24"/>
                <w:highlight w:val="none"/>
              </w:rPr>
            </w:pPr>
            <w:r>
              <w:rPr>
                <w:rFonts w:hint="eastAsia" w:ascii="仿宋" w:hAnsi="仿宋" w:eastAsia="仿宋" w:cs="仿宋"/>
                <w:color w:val="auto"/>
                <w:sz w:val="24"/>
                <w:highlight w:val="none"/>
              </w:rPr>
              <w:t>现场踏勘</w:t>
            </w:r>
          </w:p>
        </w:tc>
        <w:tc>
          <w:tcPr>
            <w:tcW w:w="4727" w:type="dxa"/>
            <w:vAlign w:val="center"/>
          </w:tcPr>
          <w:p w14:paraId="4C321BCF">
            <w:pPr>
              <w:pStyle w:val="76"/>
              <w:tabs>
                <w:tab w:val="left" w:pos="1260"/>
              </w:tabs>
              <w:spacing w:line="240" w:lineRule="auto"/>
              <w:jc w:val="both"/>
              <w:rPr>
                <w:rFonts w:ascii="仿宋" w:hAnsi="仿宋" w:eastAsia="仿宋" w:cs="仿宋"/>
                <w:b w:val="0"/>
                <w:color w:val="auto"/>
                <w:szCs w:val="24"/>
                <w:highlight w:val="none"/>
              </w:rPr>
            </w:pPr>
            <w:r>
              <w:rPr>
                <w:rFonts w:hint="eastAsia" w:ascii="仿宋" w:hAnsi="仿宋" w:eastAsia="仿宋" w:cs="仿宋"/>
                <w:b w:val="0"/>
                <w:color w:val="auto"/>
                <w:szCs w:val="24"/>
                <w:highlight w:val="none"/>
              </w:rPr>
              <w:t>本项目是否组织</w:t>
            </w:r>
            <w:r>
              <w:rPr>
                <w:rFonts w:hint="eastAsia" w:ascii="仿宋" w:hAnsi="仿宋" w:eastAsia="仿宋" w:cs="仿宋"/>
                <w:b w:val="0"/>
                <w:color w:val="auto"/>
                <w:szCs w:val="24"/>
                <w:highlight w:val="none"/>
                <w:lang w:eastAsia="zh-CN"/>
              </w:rPr>
              <w:t>投标人</w:t>
            </w:r>
            <w:r>
              <w:rPr>
                <w:rFonts w:hint="eastAsia" w:ascii="仿宋" w:hAnsi="仿宋" w:eastAsia="仿宋" w:cs="仿宋"/>
                <w:b w:val="0"/>
                <w:color w:val="auto"/>
                <w:szCs w:val="24"/>
                <w:highlight w:val="none"/>
              </w:rPr>
              <w:t>进行现场踏勘：</w:t>
            </w:r>
          </w:p>
          <w:p w14:paraId="5ED3DC10">
            <w:pPr>
              <w:pStyle w:val="76"/>
              <w:tabs>
                <w:tab w:val="left" w:pos="1260"/>
              </w:tabs>
              <w:spacing w:line="240" w:lineRule="auto"/>
              <w:jc w:val="both"/>
              <w:rPr>
                <w:rFonts w:ascii="仿宋" w:hAnsi="仿宋" w:eastAsia="仿宋" w:cs="仿宋"/>
                <w:b w:val="0"/>
                <w:color w:val="auto"/>
                <w:szCs w:val="24"/>
                <w:highlight w:val="none"/>
              </w:rPr>
            </w:pPr>
            <w:r>
              <w:rPr>
                <w:rFonts w:hint="eastAsia" w:ascii="仿宋" w:hAnsi="仿宋" w:eastAsia="仿宋" w:cs="仿宋"/>
                <w:b w:val="0"/>
                <w:color w:val="auto"/>
                <w:szCs w:val="24"/>
                <w:highlight w:val="none"/>
              </w:rPr>
              <w:t>□是 ■否</w:t>
            </w:r>
          </w:p>
          <w:p w14:paraId="524A98FC">
            <w:pPr>
              <w:rPr>
                <w:rFonts w:ascii="仿宋" w:hAnsi="仿宋" w:eastAsia="仿宋" w:cs="仿宋"/>
                <w:color w:val="auto"/>
                <w:sz w:val="24"/>
                <w:highlight w:val="none"/>
              </w:rPr>
            </w:pPr>
            <w:r>
              <w:rPr>
                <w:rFonts w:hint="eastAsia" w:ascii="仿宋" w:hAnsi="仿宋" w:eastAsia="仿宋" w:cs="仿宋"/>
                <w:color w:val="auto"/>
                <w:sz w:val="24"/>
                <w:highlight w:val="none"/>
              </w:rPr>
              <w:t>时间、地址、联系人、联系方式等</w:t>
            </w:r>
          </w:p>
        </w:tc>
      </w:tr>
      <w:tr w14:paraId="5FCFB6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0" w:hRule="atLeast"/>
        </w:trPr>
        <w:tc>
          <w:tcPr>
            <w:tcW w:w="694" w:type="dxa"/>
            <w:tcBorders>
              <w:right w:val="single" w:color="auto" w:sz="4" w:space="0"/>
            </w:tcBorders>
            <w:vAlign w:val="center"/>
          </w:tcPr>
          <w:p w14:paraId="209F44DB">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992" w:type="dxa"/>
            <w:tcBorders>
              <w:left w:val="single" w:color="auto" w:sz="4" w:space="0"/>
            </w:tcBorders>
            <w:vAlign w:val="center"/>
          </w:tcPr>
          <w:p w14:paraId="5754EA48">
            <w:pPr>
              <w:jc w:val="center"/>
              <w:rPr>
                <w:rFonts w:ascii="仿宋" w:hAnsi="仿宋" w:eastAsia="仿宋" w:cs="仿宋"/>
                <w:color w:val="auto"/>
                <w:sz w:val="24"/>
                <w:highlight w:val="none"/>
              </w:rPr>
            </w:pPr>
            <w:r>
              <w:rPr>
                <w:rFonts w:hint="eastAsia" w:ascii="仿宋" w:hAnsi="仿宋" w:eastAsia="仿宋" w:cs="仿宋"/>
                <w:color w:val="auto"/>
                <w:sz w:val="24"/>
                <w:highlight w:val="none"/>
              </w:rPr>
              <w:t>7.1</w:t>
            </w:r>
          </w:p>
        </w:tc>
        <w:tc>
          <w:tcPr>
            <w:tcW w:w="1985" w:type="dxa"/>
            <w:vAlign w:val="center"/>
          </w:tcPr>
          <w:p w14:paraId="0A2219E4">
            <w:pPr>
              <w:rPr>
                <w:rFonts w:ascii="仿宋" w:hAnsi="仿宋" w:eastAsia="仿宋" w:cs="仿宋"/>
                <w:color w:val="auto"/>
                <w:sz w:val="24"/>
                <w:highlight w:val="none"/>
              </w:rPr>
            </w:pPr>
            <w:r>
              <w:rPr>
                <w:rFonts w:hint="eastAsia" w:ascii="仿宋" w:hAnsi="仿宋" w:eastAsia="仿宋" w:cs="仿宋"/>
                <w:color w:val="auto"/>
                <w:sz w:val="24"/>
                <w:highlight w:val="none"/>
              </w:rPr>
              <w:t>现场答疑会</w:t>
            </w:r>
          </w:p>
        </w:tc>
        <w:tc>
          <w:tcPr>
            <w:tcW w:w="4727" w:type="dxa"/>
            <w:vAlign w:val="center"/>
          </w:tcPr>
          <w:p w14:paraId="76DB4944">
            <w:pPr>
              <w:rPr>
                <w:rFonts w:ascii="仿宋" w:hAnsi="仿宋" w:eastAsia="仿宋" w:cs="仿宋"/>
                <w:color w:val="auto"/>
                <w:sz w:val="24"/>
                <w:highlight w:val="none"/>
              </w:rPr>
            </w:pPr>
            <w:r>
              <w:rPr>
                <w:rFonts w:hint="eastAsia" w:ascii="仿宋" w:hAnsi="仿宋" w:eastAsia="仿宋" w:cs="仿宋"/>
                <w:color w:val="auto"/>
                <w:sz w:val="24"/>
                <w:highlight w:val="none"/>
              </w:rPr>
              <w:t>本项目不安排现场答疑</w:t>
            </w:r>
          </w:p>
        </w:tc>
      </w:tr>
      <w:tr w14:paraId="3F9595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694" w:type="dxa"/>
            <w:tcBorders>
              <w:right w:val="single" w:color="auto" w:sz="4" w:space="0"/>
            </w:tcBorders>
            <w:vAlign w:val="center"/>
          </w:tcPr>
          <w:p w14:paraId="050E60A8">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992" w:type="dxa"/>
            <w:tcBorders>
              <w:left w:val="single" w:color="auto" w:sz="4" w:space="0"/>
            </w:tcBorders>
            <w:vAlign w:val="center"/>
          </w:tcPr>
          <w:p w14:paraId="2EF67B9F">
            <w:pPr>
              <w:jc w:val="center"/>
              <w:rPr>
                <w:rFonts w:ascii="仿宋" w:hAnsi="仿宋" w:eastAsia="仿宋" w:cs="仿宋"/>
                <w:color w:val="auto"/>
                <w:sz w:val="24"/>
                <w:highlight w:val="none"/>
              </w:rPr>
            </w:pPr>
            <w:r>
              <w:rPr>
                <w:rFonts w:hint="eastAsia" w:ascii="仿宋" w:hAnsi="仿宋" w:eastAsia="仿宋" w:cs="仿宋"/>
                <w:color w:val="auto"/>
                <w:sz w:val="24"/>
                <w:highlight w:val="none"/>
              </w:rPr>
              <w:t>7.1</w:t>
            </w:r>
          </w:p>
        </w:tc>
        <w:tc>
          <w:tcPr>
            <w:tcW w:w="1985" w:type="dxa"/>
            <w:vAlign w:val="center"/>
          </w:tcPr>
          <w:p w14:paraId="266932BB">
            <w:pPr>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招标人</w:t>
            </w:r>
            <w:r>
              <w:rPr>
                <w:rFonts w:hint="eastAsia" w:ascii="仿宋" w:hAnsi="仿宋" w:eastAsia="仿宋" w:cs="仿宋"/>
                <w:color w:val="auto"/>
                <w:sz w:val="24"/>
                <w:highlight w:val="none"/>
              </w:rPr>
              <w:t>对招标文件的澄清或修改、答疑的期限</w:t>
            </w:r>
          </w:p>
        </w:tc>
        <w:tc>
          <w:tcPr>
            <w:tcW w:w="4727" w:type="dxa"/>
            <w:vAlign w:val="center"/>
          </w:tcPr>
          <w:p w14:paraId="5E84B4AD">
            <w:pPr>
              <w:rPr>
                <w:rFonts w:ascii="仿宋" w:hAnsi="仿宋" w:eastAsia="仿宋" w:cs="仿宋"/>
                <w:color w:val="auto"/>
                <w:sz w:val="24"/>
                <w:highlight w:val="none"/>
              </w:rPr>
            </w:pPr>
            <w:r>
              <w:rPr>
                <w:rFonts w:hint="eastAsia" w:ascii="仿宋" w:hAnsi="仿宋" w:eastAsia="仿宋" w:cs="仿宋"/>
                <w:color w:val="auto"/>
                <w:sz w:val="24"/>
                <w:highlight w:val="none"/>
              </w:rPr>
              <w:t>投标人有义务在招标期间上网浏览有关本项目的补充公告等信息</w:t>
            </w:r>
          </w:p>
        </w:tc>
      </w:tr>
      <w:tr w14:paraId="287920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694" w:type="dxa"/>
            <w:tcBorders>
              <w:right w:val="single" w:color="auto" w:sz="4" w:space="0"/>
            </w:tcBorders>
            <w:vAlign w:val="center"/>
          </w:tcPr>
          <w:p w14:paraId="454545CC">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992" w:type="dxa"/>
            <w:tcBorders>
              <w:left w:val="single" w:color="auto" w:sz="4" w:space="0"/>
            </w:tcBorders>
            <w:vAlign w:val="center"/>
          </w:tcPr>
          <w:p w14:paraId="3D734BA9">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18.1</w:t>
            </w:r>
          </w:p>
        </w:tc>
        <w:tc>
          <w:tcPr>
            <w:tcW w:w="1985" w:type="dxa"/>
            <w:vAlign w:val="center"/>
          </w:tcPr>
          <w:p w14:paraId="3421A482">
            <w:pPr>
              <w:rPr>
                <w:rFonts w:ascii="仿宋" w:hAnsi="仿宋" w:eastAsia="仿宋" w:cs="仿宋"/>
                <w:color w:val="auto"/>
                <w:sz w:val="24"/>
                <w:highlight w:val="none"/>
              </w:rPr>
            </w:pPr>
            <w:r>
              <w:rPr>
                <w:rFonts w:hint="eastAsia" w:ascii="仿宋" w:hAnsi="仿宋" w:eastAsia="仿宋" w:cs="仿宋"/>
                <w:color w:val="auto"/>
                <w:sz w:val="24"/>
                <w:highlight w:val="none"/>
              </w:rPr>
              <w:t>投标文件的投递地址</w:t>
            </w:r>
          </w:p>
        </w:tc>
        <w:tc>
          <w:tcPr>
            <w:tcW w:w="4727" w:type="dxa"/>
            <w:vAlign w:val="center"/>
          </w:tcPr>
          <w:p w14:paraId="0D0FDD1A">
            <w:pPr>
              <w:rPr>
                <w:rFonts w:ascii="仿宋" w:hAnsi="仿宋" w:eastAsia="仿宋" w:cs="仿宋"/>
                <w:color w:val="auto"/>
                <w:sz w:val="24"/>
                <w:highlight w:val="none"/>
              </w:rPr>
            </w:pPr>
            <w:r>
              <w:rPr>
                <w:rFonts w:hint="eastAsia" w:ascii="仿宋" w:hAnsi="仿宋" w:eastAsia="仿宋" w:cs="仿宋"/>
                <w:color w:val="auto"/>
                <w:sz w:val="24"/>
                <w:highlight w:val="none"/>
              </w:rPr>
              <w:t>详见招标公告中相关内容</w:t>
            </w:r>
          </w:p>
        </w:tc>
      </w:tr>
      <w:tr w14:paraId="6501FE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694" w:type="dxa"/>
            <w:tcBorders>
              <w:right w:val="single" w:color="auto" w:sz="4" w:space="0"/>
            </w:tcBorders>
            <w:vAlign w:val="center"/>
          </w:tcPr>
          <w:p w14:paraId="72D26F70">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992" w:type="dxa"/>
            <w:tcBorders>
              <w:left w:val="single" w:color="auto" w:sz="4" w:space="0"/>
            </w:tcBorders>
            <w:vAlign w:val="center"/>
          </w:tcPr>
          <w:p w14:paraId="499DFF9B">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18.2</w:t>
            </w:r>
          </w:p>
        </w:tc>
        <w:tc>
          <w:tcPr>
            <w:tcW w:w="1985" w:type="dxa"/>
            <w:vAlign w:val="center"/>
          </w:tcPr>
          <w:p w14:paraId="4E2D1B11">
            <w:pPr>
              <w:rPr>
                <w:rFonts w:ascii="仿宋" w:hAnsi="仿宋" w:eastAsia="仿宋" w:cs="仿宋"/>
                <w:color w:val="auto"/>
                <w:sz w:val="24"/>
                <w:highlight w:val="none"/>
              </w:rPr>
            </w:pPr>
            <w:r>
              <w:rPr>
                <w:rFonts w:hint="eastAsia" w:ascii="仿宋" w:hAnsi="仿宋" w:eastAsia="仿宋" w:cs="仿宋"/>
                <w:color w:val="auto"/>
                <w:sz w:val="24"/>
                <w:highlight w:val="none"/>
              </w:rPr>
              <w:t>投标截止时间</w:t>
            </w:r>
          </w:p>
        </w:tc>
        <w:tc>
          <w:tcPr>
            <w:tcW w:w="4727" w:type="dxa"/>
            <w:vAlign w:val="center"/>
          </w:tcPr>
          <w:p w14:paraId="0DF9EBCF">
            <w:pPr>
              <w:rPr>
                <w:rFonts w:ascii="仿宋" w:hAnsi="仿宋" w:eastAsia="仿宋" w:cs="仿宋"/>
                <w:color w:val="auto"/>
                <w:sz w:val="24"/>
                <w:highlight w:val="none"/>
              </w:rPr>
            </w:pPr>
            <w:r>
              <w:rPr>
                <w:rFonts w:hint="eastAsia" w:ascii="仿宋" w:hAnsi="仿宋" w:eastAsia="仿宋" w:cs="仿宋"/>
                <w:color w:val="auto"/>
                <w:sz w:val="24"/>
                <w:highlight w:val="none"/>
              </w:rPr>
              <w:t>详见招标公告中相关内容</w:t>
            </w:r>
          </w:p>
        </w:tc>
      </w:tr>
      <w:tr w14:paraId="5F0AA5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694" w:type="dxa"/>
            <w:tcBorders>
              <w:right w:val="single" w:color="auto" w:sz="4" w:space="0"/>
            </w:tcBorders>
            <w:vAlign w:val="center"/>
          </w:tcPr>
          <w:p w14:paraId="6CC2E563">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992" w:type="dxa"/>
            <w:tcBorders>
              <w:left w:val="single" w:color="auto" w:sz="4" w:space="0"/>
            </w:tcBorders>
            <w:vAlign w:val="center"/>
          </w:tcPr>
          <w:p w14:paraId="63A626F1">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20.1</w:t>
            </w:r>
          </w:p>
        </w:tc>
        <w:tc>
          <w:tcPr>
            <w:tcW w:w="1985" w:type="dxa"/>
            <w:vAlign w:val="center"/>
          </w:tcPr>
          <w:p w14:paraId="3F64D26B">
            <w:pPr>
              <w:rPr>
                <w:rFonts w:ascii="仿宋" w:hAnsi="仿宋" w:eastAsia="仿宋" w:cs="仿宋"/>
                <w:color w:val="auto"/>
                <w:sz w:val="24"/>
                <w:highlight w:val="none"/>
              </w:rPr>
            </w:pPr>
            <w:r>
              <w:rPr>
                <w:rFonts w:hint="eastAsia" w:ascii="仿宋" w:hAnsi="仿宋" w:eastAsia="仿宋" w:cs="仿宋"/>
                <w:color w:val="auto"/>
                <w:sz w:val="24"/>
                <w:highlight w:val="none"/>
              </w:rPr>
              <w:t>开标时间和地点</w:t>
            </w:r>
          </w:p>
        </w:tc>
        <w:tc>
          <w:tcPr>
            <w:tcW w:w="4727" w:type="dxa"/>
            <w:vAlign w:val="center"/>
          </w:tcPr>
          <w:p w14:paraId="39D5869A">
            <w:pPr>
              <w:rPr>
                <w:rFonts w:ascii="仿宋" w:hAnsi="仿宋" w:eastAsia="仿宋" w:cs="仿宋"/>
                <w:color w:val="auto"/>
                <w:sz w:val="24"/>
                <w:highlight w:val="none"/>
              </w:rPr>
            </w:pPr>
            <w:r>
              <w:rPr>
                <w:rFonts w:hint="eastAsia" w:ascii="仿宋" w:hAnsi="仿宋" w:eastAsia="仿宋" w:cs="仿宋"/>
                <w:color w:val="auto"/>
                <w:sz w:val="24"/>
                <w:highlight w:val="none"/>
              </w:rPr>
              <w:t>详见招标公告中相关内容</w:t>
            </w:r>
          </w:p>
        </w:tc>
      </w:tr>
      <w:tr w14:paraId="7F5736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694" w:type="dxa"/>
            <w:tcBorders>
              <w:right w:val="single" w:color="auto" w:sz="4" w:space="0"/>
            </w:tcBorders>
            <w:vAlign w:val="center"/>
          </w:tcPr>
          <w:p w14:paraId="0548543B">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992" w:type="dxa"/>
            <w:tcBorders>
              <w:left w:val="single" w:color="auto" w:sz="4" w:space="0"/>
            </w:tcBorders>
            <w:vAlign w:val="center"/>
          </w:tcPr>
          <w:p w14:paraId="0EDCA077">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39.1</w:t>
            </w:r>
          </w:p>
        </w:tc>
        <w:tc>
          <w:tcPr>
            <w:tcW w:w="1985" w:type="dxa"/>
            <w:vAlign w:val="center"/>
          </w:tcPr>
          <w:p w14:paraId="2B8C552A">
            <w:pPr>
              <w:rPr>
                <w:rFonts w:ascii="仿宋" w:hAnsi="仿宋" w:eastAsia="仿宋" w:cs="仿宋"/>
                <w:color w:val="auto"/>
                <w:sz w:val="24"/>
                <w:highlight w:val="none"/>
              </w:rPr>
            </w:pPr>
            <w:r>
              <w:rPr>
                <w:rFonts w:hint="eastAsia" w:ascii="仿宋" w:hAnsi="仿宋" w:eastAsia="仿宋" w:cs="仿宋"/>
                <w:color w:val="auto"/>
                <w:sz w:val="24"/>
                <w:highlight w:val="none"/>
              </w:rPr>
              <w:t>履约担保金额</w:t>
            </w:r>
          </w:p>
        </w:tc>
        <w:tc>
          <w:tcPr>
            <w:tcW w:w="4727" w:type="dxa"/>
            <w:vAlign w:val="center"/>
          </w:tcPr>
          <w:p w14:paraId="7A50906B">
            <w:pPr>
              <w:rPr>
                <w:rFonts w:hint="eastAsia" w:ascii="仿宋" w:hAnsi="仿宋" w:eastAsia="仿宋" w:cs="仿宋"/>
                <w:color w:val="auto"/>
                <w:sz w:val="24"/>
                <w:highlight w:val="none"/>
                <w:lang w:eastAsia="zh-CN"/>
              </w:rPr>
            </w:pPr>
            <w:r>
              <w:rPr>
                <w:rFonts w:hint="eastAsia" w:ascii="仿宋" w:hAnsi="仿宋" w:eastAsia="仿宋" w:cs="仿宋"/>
                <w:sz w:val="24"/>
                <w:highlight w:val="none"/>
                <w:lang w:eastAsia="zh-CN"/>
              </w:rPr>
              <w:t>各中标人需向招标人以现金转账的形式缴纳履约保证金（人民币拾万元），履约保证金缴纳时间为中标通知书发出后5个工作日内。中标人缴纳履约保证金后招标人开具收据。中标人在取得招标人开具的履约合格证明的前提下，合同期满后10个工作日内，招标人不计利息一次性退还履约保证金给中标人。中标人未按合同约定履行合同或违约等导致合同被解除的，履约保证金将不予退还。</w:t>
            </w:r>
          </w:p>
        </w:tc>
      </w:tr>
      <w:tr w14:paraId="617862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913" w:hRule="atLeast"/>
        </w:trPr>
        <w:tc>
          <w:tcPr>
            <w:tcW w:w="8398" w:type="dxa"/>
            <w:gridSpan w:val="4"/>
            <w:vAlign w:val="center"/>
          </w:tcPr>
          <w:p w14:paraId="365094EC">
            <w:pPr>
              <w:rPr>
                <w:rFonts w:ascii="仿宋" w:hAnsi="仿宋" w:eastAsia="仿宋" w:cs="仿宋"/>
                <w:color w:val="auto"/>
                <w:sz w:val="24"/>
                <w:highlight w:val="none"/>
              </w:rPr>
            </w:pPr>
            <w:r>
              <w:rPr>
                <w:rFonts w:hint="eastAsia" w:ascii="仿宋" w:hAnsi="仿宋" w:eastAsia="仿宋" w:cs="仿宋"/>
                <w:color w:val="auto"/>
                <w:sz w:val="24"/>
                <w:highlight w:val="none"/>
              </w:rPr>
              <w:t>注：如“第一册 通用条款”与“第二册第三章 招标项目需求”的内容不一致的，以第二册第三章所述内容为准。</w:t>
            </w:r>
          </w:p>
        </w:tc>
      </w:tr>
    </w:tbl>
    <w:p w14:paraId="771ADB37">
      <w:pPr>
        <w:rPr>
          <w:color w:val="auto"/>
          <w:highlight w:val="none"/>
        </w:rPr>
      </w:pPr>
    </w:p>
    <w:p w14:paraId="5B459A72">
      <w:pPr>
        <w:pStyle w:val="5"/>
        <w:pageBreakBefore/>
        <w:spacing w:line="415" w:lineRule="auto"/>
        <w:jc w:val="center"/>
        <w:rPr>
          <w:rFonts w:ascii="黑体"/>
          <w:b/>
          <w:bCs/>
          <w:color w:val="auto"/>
          <w:sz w:val="28"/>
          <w:szCs w:val="28"/>
          <w:highlight w:val="none"/>
        </w:rPr>
      </w:pPr>
      <w:bookmarkStart w:id="384" w:name="bt总则"/>
      <w:bookmarkEnd w:id="384"/>
      <w:bookmarkStart w:id="385" w:name="_Toc100319581"/>
      <w:bookmarkStart w:id="386" w:name="_Toc28176"/>
      <w:bookmarkStart w:id="387" w:name="_Toc32398"/>
      <w:bookmarkStart w:id="388" w:name="_Toc11212"/>
      <w:bookmarkStart w:id="389" w:name="_Toc30006"/>
      <w:bookmarkStart w:id="390" w:name="_Toc7767"/>
      <w:bookmarkStart w:id="391" w:name="_Toc25289"/>
      <w:bookmarkStart w:id="392" w:name="_Toc128564766"/>
      <w:bookmarkStart w:id="393" w:name="_Toc24021"/>
      <w:bookmarkStart w:id="394" w:name="_Toc21255"/>
      <w:bookmarkStart w:id="395" w:name="_Toc13657"/>
      <w:bookmarkStart w:id="396" w:name="_Toc24392"/>
      <w:r>
        <w:rPr>
          <w:rFonts w:hint="eastAsia" w:ascii="黑体"/>
          <w:b/>
          <w:bCs/>
          <w:color w:val="auto"/>
          <w:sz w:val="28"/>
          <w:szCs w:val="28"/>
          <w:highlight w:val="none"/>
        </w:rPr>
        <w:t>表二、投标文件初审表</w:t>
      </w:r>
      <w:bookmarkEnd w:id="385"/>
      <w:bookmarkEnd w:id="386"/>
      <w:bookmarkEnd w:id="387"/>
      <w:bookmarkEnd w:id="388"/>
      <w:bookmarkEnd w:id="389"/>
      <w:bookmarkEnd w:id="390"/>
      <w:bookmarkEnd w:id="391"/>
      <w:bookmarkEnd w:id="392"/>
      <w:bookmarkEnd w:id="393"/>
      <w:bookmarkEnd w:id="394"/>
      <w:bookmarkEnd w:id="395"/>
      <w:bookmarkEnd w:id="396"/>
    </w:p>
    <w:tbl>
      <w:tblPr>
        <w:tblStyle w:val="44"/>
        <w:tblW w:w="8566"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7587"/>
      </w:tblGrid>
      <w:tr w14:paraId="2B2A9C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gridSpan w:val="2"/>
            <w:vAlign w:val="center"/>
          </w:tcPr>
          <w:p w14:paraId="2284B74D">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资格性检查表</w:t>
            </w:r>
          </w:p>
        </w:tc>
      </w:tr>
      <w:tr w14:paraId="6D6B4AE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9" w:type="dxa"/>
            <w:vAlign w:val="center"/>
          </w:tcPr>
          <w:p w14:paraId="5644CCB3">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587" w:type="dxa"/>
            <w:vAlign w:val="center"/>
          </w:tcPr>
          <w:p w14:paraId="64D6EAD7">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检查内容</w:t>
            </w:r>
          </w:p>
        </w:tc>
      </w:tr>
      <w:tr w14:paraId="5EB9129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9" w:type="dxa"/>
            <w:vAlign w:val="center"/>
          </w:tcPr>
          <w:p w14:paraId="4FD1F8AC">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7587" w:type="dxa"/>
            <w:vAlign w:val="center"/>
          </w:tcPr>
          <w:p w14:paraId="10E2E87B">
            <w:pPr>
              <w:rPr>
                <w:rFonts w:ascii="仿宋" w:hAnsi="仿宋" w:eastAsia="仿宋" w:cs="仿宋"/>
                <w:color w:val="auto"/>
                <w:sz w:val="24"/>
                <w:highlight w:val="none"/>
              </w:rPr>
            </w:pPr>
            <w:r>
              <w:rPr>
                <w:rFonts w:hint="eastAsia" w:ascii="仿宋" w:hAnsi="仿宋" w:eastAsia="仿宋" w:cs="仿宋"/>
                <w:color w:val="auto"/>
                <w:sz w:val="24"/>
                <w:highlight w:val="none"/>
              </w:rPr>
              <w:t>投标人不具备招标资质要求，或未提交相应资格证明材料(详见招标公告投标人资质要求，其中未列示的资质要求不得导致投标无效)</w:t>
            </w:r>
          </w:p>
        </w:tc>
      </w:tr>
      <w:tr w14:paraId="6F62A44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9" w:type="dxa"/>
            <w:vAlign w:val="center"/>
          </w:tcPr>
          <w:p w14:paraId="1C93D38C">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7587" w:type="dxa"/>
            <w:vAlign w:val="center"/>
          </w:tcPr>
          <w:p w14:paraId="5D1876EC">
            <w:pPr>
              <w:rPr>
                <w:rFonts w:ascii="仿宋" w:hAnsi="仿宋" w:eastAsia="仿宋" w:cs="仿宋"/>
                <w:color w:val="auto"/>
                <w:sz w:val="24"/>
                <w:highlight w:val="none"/>
              </w:rPr>
            </w:pPr>
            <w:r>
              <w:rPr>
                <w:rFonts w:hint="eastAsia" w:ascii="仿宋" w:hAnsi="仿宋" w:eastAsia="仿宋" w:cs="仿宋"/>
                <w:color w:val="auto"/>
                <w:sz w:val="24"/>
                <w:highlight w:val="none"/>
              </w:rPr>
              <w:t>投标人未按招标公告要求完成投标报名的</w:t>
            </w:r>
          </w:p>
        </w:tc>
      </w:tr>
      <w:tr w14:paraId="4E7B1B6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9" w:type="dxa"/>
            <w:vAlign w:val="center"/>
          </w:tcPr>
          <w:p w14:paraId="24E7925B">
            <w:pPr>
              <w:jc w:val="center"/>
              <w:rPr>
                <w:rFonts w:hint="eastAsia" w:ascii="仿宋" w:hAnsi="仿宋" w:eastAsia="仿宋" w:cs="仿宋"/>
                <w:color w:val="auto"/>
                <w:sz w:val="24"/>
                <w:highlight w:val="none"/>
              </w:rPr>
            </w:pPr>
            <w:r>
              <w:rPr>
                <w:rFonts w:hint="eastAsia" w:ascii="仿宋" w:hAnsi="仿宋" w:eastAsia="仿宋" w:cs="仿宋"/>
                <w:color w:val="000000" w:themeColor="text1"/>
                <w:sz w:val="24"/>
                <w:highlight w:val="none"/>
                <w14:textFill>
                  <w14:solidFill>
                    <w14:schemeClr w14:val="tx1"/>
                  </w14:solidFill>
                </w14:textFill>
              </w:rPr>
              <w:t>3</w:t>
            </w:r>
          </w:p>
        </w:tc>
        <w:tc>
          <w:tcPr>
            <w:tcW w:w="7587" w:type="dxa"/>
            <w:vAlign w:val="center"/>
          </w:tcPr>
          <w:p w14:paraId="20DFF7DB">
            <w:pPr>
              <w:rPr>
                <w:rFonts w:hint="eastAsia" w:ascii="仿宋" w:hAnsi="仿宋" w:eastAsia="仿宋" w:cs="仿宋"/>
                <w:color w:val="auto"/>
                <w:sz w:val="24"/>
                <w:highlight w:val="none"/>
              </w:rPr>
            </w:pPr>
            <w:r>
              <w:rPr>
                <w:rFonts w:hint="eastAsia" w:ascii="仿宋" w:hAnsi="仿宋" w:eastAsia="仿宋" w:cs="仿宋"/>
                <w:color w:val="000000" w:themeColor="text1"/>
                <w:sz w:val="24"/>
                <w:highlight w:val="none"/>
                <w14:textFill>
                  <w14:solidFill>
                    <w14:schemeClr w14:val="tx1"/>
                  </w14:solidFill>
                </w14:textFill>
              </w:rPr>
              <w:t>投标截止时间前投标人未按“投标须知前附表”的要求提交投标保证金或金额不足的</w:t>
            </w:r>
          </w:p>
        </w:tc>
      </w:tr>
      <w:tr w14:paraId="7720A0C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gridSpan w:val="2"/>
            <w:vAlign w:val="center"/>
          </w:tcPr>
          <w:p w14:paraId="4F4E1618">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符合性检查表</w:t>
            </w:r>
          </w:p>
        </w:tc>
      </w:tr>
      <w:tr w14:paraId="519D438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9" w:type="dxa"/>
            <w:vAlign w:val="center"/>
          </w:tcPr>
          <w:p w14:paraId="3B97A9DE">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587" w:type="dxa"/>
            <w:vAlign w:val="center"/>
          </w:tcPr>
          <w:p w14:paraId="51BE1FA4">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检查内容</w:t>
            </w:r>
          </w:p>
        </w:tc>
      </w:tr>
      <w:tr w14:paraId="36C4608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9" w:type="dxa"/>
            <w:vAlign w:val="center"/>
          </w:tcPr>
          <w:p w14:paraId="11DF84EB">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7587" w:type="dxa"/>
            <w:vAlign w:val="center"/>
          </w:tcPr>
          <w:p w14:paraId="1EB7ADAD">
            <w:pPr>
              <w:rPr>
                <w:rFonts w:ascii="仿宋" w:hAnsi="仿宋" w:eastAsia="仿宋" w:cs="仿宋"/>
                <w:color w:val="auto"/>
                <w:sz w:val="32"/>
                <w:szCs w:val="32"/>
                <w:highlight w:val="none"/>
              </w:rPr>
            </w:pPr>
            <w:r>
              <w:rPr>
                <w:rFonts w:hint="eastAsia" w:ascii="仿宋" w:hAnsi="仿宋" w:eastAsia="仿宋" w:cs="仿宋"/>
                <w:sz w:val="24"/>
                <w:highlight w:val="none"/>
              </w:rPr>
              <w:t>将一个包中的内容拆开投标</w:t>
            </w:r>
          </w:p>
        </w:tc>
      </w:tr>
      <w:tr w14:paraId="2515E3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9" w:type="dxa"/>
            <w:vAlign w:val="center"/>
          </w:tcPr>
          <w:p w14:paraId="6EC8A3E3">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7587" w:type="dxa"/>
            <w:vAlign w:val="center"/>
          </w:tcPr>
          <w:p w14:paraId="0315DD24">
            <w:pPr>
              <w:rPr>
                <w:rFonts w:ascii="仿宋" w:hAnsi="仿宋" w:eastAsia="仿宋" w:cs="仿宋"/>
                <w:color w:val="auto"/>
                <w:sz w:val="32"/>
                <w:szCs w:val="32"/>
                <w:highlight w:val="none"/>
              </w:rPr>
            </w:pPr>
            <w:r>
              <w:rPr>
                <w:rFonts w:hint="eastAsia" w:ascii="仿宋" w:hAnsi="仿宋" w:eastAsia="仿宋" w:cs="仿宋"/>
                <w:sz w:val="24"/>
                <w:highlight w:val="none"/>
              </w:rPr>
              <w:t>投标文件</w:t>
            </w:r>
            <w:r>
              <w:rPr>
                <w:rFonts w:hint="eastAsia" w:ascii="仿宋" w:hAnsi="仿宋" w:eastAsia="仿宋" w:cs="仿宋"/>
                <w:sz w:val="24"/>
                <w:szCs w:val="32"/>
                <w:highlight w:val="none"/>
              </w:rPr>
              <w:t>及</w:t>
            </w:r>
            <w:r>
              <w:rPr>
                <w:rFonts w:hint="eastAsia" w:ascii="仿宋" w:hAnsi="仿宋" w:eastAsia="仿宋" w:cs="仿宋"/>
                <w:sz w:val="24"/>
                <w:szCs w:val="32"/>
                <w:highlight w:val="none"/>
                <w:lang w:eastAsia="zh-CN"/>
              </w:rPr>
              <w:t>报价一览表</w:t>
            </w:r>
            <w:r>
              <w:rPr>
                <w:rFonts w:hint="eastAsia" w:ascii="仿宋" w:hAnsi="仿宋" w:eastAsia="仿宋" w:cs="仿宋"/>
                <w:sz w:val="24"/>
                <w:highlight w:val="none"/>
              </w:rPr>
              <w:t>未按规定密封、签字、盖章</w:t>
            </w:r>
          </w:p>
        </w:tc>
      </w:tr>
      <w:tr w14:paraId="0346904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9" w:type="dxa"/>
            <w:vAlign w:val="center"/>
          </w:tcPr>
          <w:p w14:paraId="28D098E2">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7587" w:type="dxa"/>
            <w:vAlign w:val="center"/>
          </w:tcPr>
          <w:p w14:paraId="045486EF">
            <w:pPr>
              <w:rPr>
                <w:rFonts w:ascii="仿宋" w:hAnsi="仿宋" w:eastAsia="仿宋" w:cs="仿宋"/>
                <w:color w:val="auto"/>
                <w:sz w:val="24"/>
                <w:highlight w:val="none"/>
              </w:rPr>
            </w:pPr>
            <w:r>
              <w:rPr>
                <w:rFonts w:hint="eastAsia" w:ascii="仿宋" w:hAnsi="仿宋" w:eastAsia="仿宋" w:cs="仿宋"/>
                <w:sz w:val="24"/>
                <w:highlight w:val="none"/>
              </w:rPr>
              <w:t>招标文件未规定允许有替代方案时，对同一项目投标时，同时提供两套或两套以上的投标方案</w:t>
            </w:r>
          </w:p>
        </w:tc>
      </w:tr>
      <w:tr w14:paraId="320ED9C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9" w:type="dxa"/>
            <w:vAlign w:val="center"/>
          </w:tcPr>
          <w:p w14:paraId="45282BBA">
            <w:pPr>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7587" w:type="dxa"/>
            <w:vAlign w:val="center"/>
          </w:tcPr>
          <w:p w14:paraId="0F05A0B2">
            <w:pPr>
              <w:rPr>
                <w:rFonts w:hint="eastAsia" w:ascii="仿宋" w:hAnsi="仿宋" w:eastAsia="仿宋" w:cs="仿宋"/>
                <w:sz w:val="24"/>
                <w:highlight w:val="none"/>
              </w:rPr>
            </w:pPr>
            <w:r>
              <w:rPr>
                <w:rFonts w:hint="eastAsia" w:ascii="仿宋" w:hAnsi="仿宋" w:eastAsia="仿宋" w:cs="仿宋"/>
                <w:sz w:val="24"/>
                <w:highlight w:val="none"/>
              </w:rPr>
              <w:t>投标文件载明的服务期限不满足招标文件规定的</w:t>
            </w:r>
          </w:p>
        </w:tc>
      </w:tr>
      <w:tr w14:paraId="26CF62C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9" w:type="dxa"/>
            <w:vAlign w:val="center"/>
          </w:tcPr>
          <w:p w14:paraId="287FE020">
            <w:pPr>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7587" w:type="dxa"/>
            <w:vAlign w:val="center"/>
          </w:tcPr>
          <w:p w14:paraId="49BAB14E">
            <w:pPr>
              <w:rPr>
                <w:rFonts w:hint="eastAsia" w:ascii="仿宋" w:hAnsi="仿宋" w:eastAsia="仿宋" w:cs="仿宋"/>
                <w:sz w:val="24"/>
                <w:highlight w:val="none"/>
              </w:rPr>
            </w:pPr>
            <w:r>
              <w:rPr>
                <w:rFonts w:hint="eastAsia" w:ascii="仿宋" w:hAnsi="仿宋" w:eastAsia="仿宋" w:cs="仿宋"/>
                <w:sz w:val="24"/>
                <w:highlight w:val="none"/>
              </w:rPr>
              <w:t>投标文件对招标文件中标注“★”的条款响应为负偏离的</w:t>
            </w:r>
          </w:p>
        </w:tc>
      </w:tr>
      <w:tr w14:paraId="1E9AED7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9" w:type="dxa"/>
            <w:vAlign w:val="center"/>
          </w:tcPr>
          <w:p w14:paraId="600581B4">
            <w:pPr>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7587" w:type="dxa"/>
            <w:vAlign w:val="center"/>
          </w:tcPr>
          <w:p w14:paraId="17393028">
            <w:pPr>
              <w:rPr>
                <w:rFonts w:hint="eastAsia" w:ascii="仿宋" w:hAnsi="仿宋" w:eastAsia="仿宋" w:cs="仿宋"/>
                <w:kern w:val="2"/>
                <w:sz w:val="24"/>
                <w:szCs w:val="24"/>
                <w:highlight w:val="none"/>
                <w:lang w:val="en-US" w:eastAsia="zh-CN" w:bidi="ar-SA"/>
              </w:rPr>
            </w:pPr>
            <w:r>
              <w:rPr>
                <w:rFonts w:hint="eastAsia" w:ascii="仿宋" w:hAnsi="仿宋" w:eastAsia="仿宋" w:cs="仿宋"/>
                <w:bCs w:val="0"/>
                <w:kern w:val="2"/>
                <w:sz w:val="24"/>
                <w:szCs w:val="24"/>
                <w:highlight w:val="none"/>
                <w:lang w:val="en-US" w:eastAsia="zh-CN" w:bidi="ar-SA"/>
              </w:rPr>
              <w:t>增值税率填写要求：在%前填写整数；投标人参与投标只允许填报唯一1个“投标报价”和1个“增值税率”，填报了2个或以上“投标报价”和“增值税率”的，其投标将直接作投标无效处理</w:t>
            </w:r>
            <w:r>
              <w:rPr>
                <w:rFonts w:hint="eastAsia" w:ascii="仿宋" w:hAnsi="仿宋" w:eastAsia="仿宋" w:cs="仿宋"/>
                <w:sz w:val="24"/>
                <w:highlight w:val="none"/>
                <w:lang w:eastAsia="zh-CN"/>
              </w:rPr>
              <w:t>；</w:t>
            </w:r>
          </w:p>
        </w:tc>
      </w:tr>
      <w:tr w14:paraId="4BFD3BE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9" w:type="dxa"/>
            <w:vAlign w:val="center"/>
          </w:tcPr>
          <w:p w14:paraId="18C2074B">
            <w:pPr>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7587" w:type="dxa"/>
            <w:vAlign w:val="center"/>
          </w:tcPr>
          <w:p w14:paraId="2557D4F8">
            <w:pPr>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投标人不得以低于成本的报价竞标；评标委员会认为投标人的报价明显低于其他通过符合性审查投标人的报价，有可能影响服务质量或者不能诚信履约的，应当要求其在合理的时间内提供书面说明，必要时提交相关证明材料，投标人不能证明其报价合理性的，评标委员会应当将其作为无效投标处理。</w:t>
            </w:r>
          </w:p>
        </w:tc>
      </w:tr>
      <w:tr w14:paraId="64F1D9A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9" w:type="dxa"/>
            <w:vAlign w:val="center"/>
          </w:tcPr>
          <w:p w14:paraId="59DC58CE">
            <w:pPr>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7587" w:type="dxa"/>
            <w:vAlign w:val="center"/>
          </w:tcPr>
          <w:p w14:paraId="4CF05C6D">
            <w:pPr>
              <w:rPr>
                <w:rFonts w:hint="eastAsia" w:ascii="仿宋" w:hAnsi="仿宋" w:eastAsia="仿宋" w:cs="仿宋"/>
                <w:kern w:val="2"/>
                <w:sz w:val="24"/>
                <w:szCs w:val="24"/>
                <w:highlight w:val="none"/>
                <w:lang w:val="en-US" w:eastAsia="zh-CN" w:bidi="ar-SA"/>
              </w:rPr>
            </w:pPr>
            <w:r>
              <w:rPr>
                <w:rFonts w:hint="eastAsia" w:ascii="仿宋" w:hAnsi="仿宋" w:eastAsia="仿宋" w:cs="仿宋"/>
                <w:bCs w:val="0"/>
                <w:sz w:val="24"/>
                <w:highlight w:val="none"/>
              </w:rPr>
              <w:t>投标人必须同时填报“投标报价”和“增值税率”（投标报价=1-投标下浮率）。“投标报价”和“增值税率”缺填、漏填、错填一项及以上的，将直接作投标无效处理</w:t>
            </w:r>
            <w:r>
              <w:rPr>
                <w:rFonts w:hint="eastAsia" w:ascii="仿宋" w:hAnsi="仿宋" w:eastAsia="仿宋" w:cs="仿宋"/>
                <w:bCs w:val="0"/>
                <w:kern w:val="2"/>
                <w:sz w:val="24"/>
                <w:highlight w:val="none"/>
              </w:rPr>
              <w:t>；</w:t>
            </w:r>
          </w:p>
        </w:tc>
      </w:tr>
      <w:tr w14:paraId="38B9B1F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9" w:type="dxa"/>
            <w:vAlign w:val="center"/>
          </w:tcPr>
          <w:p w14:paraId="154559B0">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9</w:t>
            </w:r>
          </w:p>
        </w:tc>
        <w:tc>
          <w:tcPr>
            <w:tcW w:w="7587" w:type="dxa"/>
            <w:vAlign w:val="center"/>
          </w:tcPr>
          <w:p w14:paraId="4D668964">
            <w:pP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z w:val="24"/>
                <w:highlight w:val="none"/>
              </w:rPr>
              <w:t>投标报价有严重缺漏项目</w:t>
            </w:r>
          </w:p>
        </w:tc>
      </w:tr>
      <w:tr w14:paraId="2371C10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9" w:type="dxa"/>
            <w:vAlign w:val="center"/>
          </w:tcPr>
          <w:p w14:paraId="54B7B395">
            <w:pPr>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7587" w:type="dxa"/>
            <w:vAlign w:val="center"/>
          </w:tcPr>
          <w:p w14:paraId="057A3010">
            <w:pPr>
              <w:rPr>
                <w:rFonts w:ascii="仿宋" w:hAnsi="仿宋" w:eastAsia="仿宋" w:cs="仿宋"/>
                <w:color w:val="auto"/>
                <w:kern w:val="2"/>
                <w:sz w:val="24"/>
                <w:szCs w:val="24"/>
                <w:highlight w:val="none"/>
                <w:lang w:val="en-US" w:eastAsia="zh-CN" w:bidi="ar-SA"/>
              </w:rPr>
            </w:pPr>
            <w:r>
              <w:rPr>
                <w:rFonts w:hint="eastAsia" w:ascii="仿宋" w:hAnsi="仿宋" w:eastAsia="仿宋" w:cs="仿宋"/>
                <w:sz w:val="24"/>
                <w:highlight w:val="none"/>
              </w:rPr>
              <w:t>法律、法规规定的其他情形</w:t>
            </w:r>
          </w:p>
        </w:tc>
      </w:tr>
    </w:tbl>
    <w:p w14:paraId="34B331F3">
      <w:pPr>
        <w:pStyle w:val="5"/>
        <w:pageBreakBefore/>
        <w:spacing w:line="415" w:lineRule="auto"/>
        <w:jc w:val="center"/>
        <w:rPr>
          <w:rFonts w:ascii="黑体"/>
          <w:b/>
          <w:bCs/>
          <w:color w:val="auto"/>
          <w:sz w:val="28"/>
          <w:szCs w:val="28"/>
          <w:highlight w:val="none"/>
        </w:rPr>
      </w:pPr>
      <w:bookmarkStart w:id="397" w:name="_Toc13586"/>
      <w:bookmarkStart w:id="398" w:name="_Toc28283"/>
      <w:bookmarkStart w:id="399" w:name="_Toc27581"/>
      <w:bookmarkStart w:id="400" w:name="_Toc8609"/>
      <w:bookmarkStart w:id="401" w:name="_Toc14404"/>
      <w:bookmarkStart w:id="402" w:name="_Toc100319582"/>
      <w:bookmarkStart w:id="403" w:name="_Toc21080"/>
      <w:bookmarkStart w:id="404" w:name="_Toc23908"/>
      <w:bookmarkStart w:id="405" w:name="_Toc128564767"/>
      <w:bookmarkStart w:id="406" w:name="_Toc14367"/>
      <w:bookmarkStart w:id="407" w:name="_Toc24469"/>
      <w:bookmarkStart w:id="408" w:name="_Toc22359"/>
      <w:r>
        <w:rPr>
          <w:rFonts w:hint="eastAsia" w:ascii="黑体"/>
          <w:b/>
          <w:bCs/>
          <w:color w:val="auto"/>
          <w:sz w:val="28"/>
          <w:szCs w:val="28"/>
          <w:highlight w:val="none"/>
        </w:rPr>
        <w:t>表三、评标信息</w:t>
      </w:r>
      <w:bookmarkEnd w:id="397"/>
      <w:bookmarkEnd w:id="398"/>
      <w:bookmarkEnd w:id="399"/>
      <w:bookmarkEnd w:id="400"/>
      <w:bookmarkEnd w:id="401"/>
      <w:bookmarkEnd w:id="402"/>
      <w:bookmarkEnd w:id="403"/>
      <w:bookmarkEnd w:id="404"/>
      <w:bookmarkEnd w:id="405"/>
      <w:bookmarkEnd w:id="406"/>
      <w:bookmarkEnd w:id="407"/>
      <w:bookmarkEnd w:id="408"/>
    </w:p>
    <w:p w14:paraId="1354453D">
      <w:pPr>
        <w:ind w:firstLine="480" w:firstLineChars="200"/>
        <w:rPr>
          <w:rFonts w:ascii="仿宋" w:hAnsi="仿宋" w:eastAsia="仿宋" w:cs="仿宋"/>
          <w:sz w:val="24"/>
          <w:highlight w:val="none"/>
        </w:rPr>
      </w:pPr>
      <w:r>
        <w:rPr>
          <w:rFonts w:hint="eastAsia" w:ascii="仿宋" w:hAnsi="仿宋" w:eastAsia="仿宋" w:cs="仿宋"/>
          <w:sz w:val="24"/>
          <w:highlight w:val="none"/>
        </w:rPr>
        <w:t>本次评标采用综合评分法，投标文件满足招标文件全部实质性要求，且按照招标文件中规定的各项评审因素进行量化打分，评标结果按评审后得分由高到低顺序排列。得分相同的，按投标报价由低到高顺序排列。得分且投标报价相同的，按</w:t>
      </w:r>
      <w:r>
        <w:rPr>
          <w:rFonts w:hint="eastAsia" w:ascii="仿宋" w:hAnsi="仿宋" w:eastAsia="仿宋" w:cs="仿宋"/>
          <w:sz w:val="24"/>
          <w:highlight w:val="none"/>
          <w:lang w:eastAsia="zh-CN"/>
        </w:rPr>
        <w:t>技术</w:t>
      </w:r>
      <w:r>
        <w:rPr>
          <w:rFonts w:hint="eastAsia" w:ascii="仿宋" w:hAnsi="仿宋" w:eastAsia="仿宋" w:cs="仿宋"/>
          <w:sz w:val="24"/>
          <w:highlight w:val="none"/>
        </w:rPr>
        <w:t>部分得分由高到低排列。得分、投标报价和</w:t>
      </w:r>
      <w:r>
        <w:rPr>
          <w:rFonts w:hint="eastAsia" w:ascii="仿宋" w:hAnsi="仿宋" w:eastAsia="仿宋" w:cs="仿宋"/>
          <w:sz w:val="24"/>
          <w:highlight w:val="none"/>
          <w:lang w:eastAsia="zh-CN"/>
        </w:rPr>
        <w:t>技术</w:t>
      </w:r>
      <w:r>
        <w:rPr>
          <w:rFonts w:hint="eastAsia" w:ascii="仿宋" w:hAnsi="仿宋" w:eastAsia="仿宋" w:cs="仿宋"/>
          <w:sz w:val="24"/>
          <w:highlight w:val="none"/>
        </w:rPr>
        <w:t>部分得分均相同的并列，出现并列情况采取随机抽取的方式确定，具体操作办法及流程由评审委员会确定</w:t>
      </w:r>
      <w:r>
        <w:rPr>
          <w:rFonts w:ascii="仿宋" w:hAnsi="仿宋" w:eastAsia="仿宋" w:cs="仿宋"/>
          <w:sz w:val="24"/>
          <w:highlight w:val="none"/>
        </w:rPr>
        <w:t>，</w:t>
      </w:r>
      <w:r>
        <w:rPr>
          <w:rFonts w:hint="eastAsia" w:ascii="仿宋" w:hAnsi="仿宋" w:eastAsia="仿宋" w:cs="仿宋"/>
          <w:sz w:val="24"/>
          <w:highlight w:val="none"/>
        </w:rPr>
        <w:t>评标委员会推荐得分排名前</w:t>
      </w:r>
      <w:r>
        <w:rPr>
          <w:rFonts w:hint="eastAsia" w:ascii="仿宋" w:hAnsi="仿宋" w:eastAsia="仿宋" w:cs="仿宋"/>
          <w:sz w:val="24"/>
          <w:highlight w:val="none"/>
          <w:lang w:val="en-US" w:eastAsia="zh-CN"/>
        </w:rPr>
        <w:t>二</w:t>
      </w:r>
      <w:r>
        <w:rPr>
          <w:rFonts w:hint="eastAsia" w:ascii="仿宋" w:hAnsi="仿宋" w:eastAsia="仿宋" w:cs="仿宋"/>
          <w:sz w:val="24"/>
          <w:highlight w:val="none"/>
        </w:rPr>
        <w:t>名投标人分别作为第一、第二中标候选人，其中得分第一名为第一中标人，第二名的为第二中标人。若出现得分排名第一名或第二名投标人放弃中标或中标资格被依法确认无效的，因情况紧急，重新组织</w:t>
      </w:r>
      <w:r>
        <w:rPr>
          <w:rFonts w:hint="eastAsia" w:ascii="仿宋" w:hAnsi="仿宋" w:eastAsia="仿宋" w:cs="仿宋"/>
          <w:sz w:val="24"/>
          <w:highlight w:val="none"/>
          <w:lang w:eastAsia="zh-CN"/>
        </w:rPr>
        <w:t>招标</w:t>
      </w:r>
      <w:r>
        <w:rPr>
          <w:rFonts w:hint="eastAsia" w:ascii="仿宋" w:hAnsi="仿宋" w:eastAsia="仿宋" w:cs="仿宋"/>
          <w:sz w:val="24"/>
          <w:highlight w:val="none"/>
        </w:rPr>
        <w:t>不能满足</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要求时，可按得分排名顺序依次确定第</w:t>
      </w:r>
      <w:r>
        <w:rPr>
          <w:rFonts w:hint="eastAsia" w:ascii="仿宋" w:hAnsi="仿宋" w:eastAsia="仿宋" w:cs="仿宋"/>
          <w:sz w:val="24"/>
          <w:highlight w:val="none"/>
          <w:lang w:val="en-US" w:eastAsia="zh-CN"/>
        </w:rPr>
        <w:t>三</w:t>
      </w:r>
      <w:r>
        <w:rPr>
          <w:rFonts w:hint="eastAsia" w:ascii="仿宋" w:hAnsi="仿宋" w:eastAsia="仿宋" w:cs="仿宋"/>
          <w:sz w:val="24"/>
          <w:highlight w:val="none"/>
        </w:rPr>
        <w:t>名投标人为中标人，以此类推。</w:t>
      </w:r>
    </w:p>
    <w:p w14:paraId="0AC9B956">
      <w:pPr>
        <w:ind w:firstLine="480" w:firstLineChars="200"/>
        <w:rPr>
          <w:rFonts w:ascii="仿宋" w:hAnsi="仿宋" w:eastAsia="仿宋" w:cs="仿宋"/>
          <w:sz w:val="24"/>
          <w:highlight w:val="none"/>
        </w:rPr>
      </w:pPr>
      <w:r>
        <w:rPr>
          <w:rFonts w:hint="eastAsia" w:ascii="仿宋" w:hAnsi="仿宋" w:eastAsia="仿宋" w:cs="仿宋"/>
          <w:sz w:val="24"/>
          <w:highlight w:val="none"/>
        </w:rPr>
        <w:t>评审委员会对每个通过资格性检查和符合性检查且报价不超过最高限价的投标人进行评审、打分，然后汇总每个投标人每项评分因素的评分。</w:t>
      </w:r>
    </w:p>
    <w:p w14:paraId="3DEC0AFD">
      <w:pPr>
        <w:ind w:firstLine="480" w:firstLineChars="200"/>
        <w:rPr>
          <w:rFonts w:ascii="仿宋" w:hAnsi="仿宋" w:eastAsia="仿宋" w:cs="仿宋"/>
          <w:sz w:val="24"/>
          <w:highlight w:val="none"/>
        </w:rPr>
      </w:pPr>
      <w:r>
        <w:rPr>
          <w:rFonts w:hint="eastAsia" w:ascii="仿宋" w:hAnsi="仿宋" w:eastAsia="仿宋" w:cs="仿宋"/>
          <w:sz w:val="24"/>
          <w:highlight w:val="none"/>
        </w:rPr>
        <w:t>评委会在评审时，按照以下量化的评审因素，对进入该阶段评审的各投标文件进行分析和比较：详见《评分细则表》</w:t>
      </w:r>
    </w:p>
    <w:p w14:paraId="2C2F40F3">
      <w:pPr>
        <w:spacing w:before="156" w:beforeLines="50" w:after="156" w:afterLines="50"/>
        <w:jc w:val="center"/>
        <w:rPr>
          <w:rFonts w:ascii="宋体" w:hAnsi="宋体"/>
          <w:b/>
          <w:bCs/>
          <w:sz w:val="24"/>
          <w:highlight w:val="none"/>
        </w:rPr>
      </w:pPr>
      <w:r>
        <w:rPr>
          <w:rFonts w:hint="eastAsia" w:ascii="宋体" w:hAnsi="宋体"/>
          <w:b/>
          <w:bCs/>
          <w:sz w:val="24"/>
          <w:highlight w:val="none"/>
        </w:rPr>
        <w:t>评分细则表</w:t>
      </w:r>
    </w:p>
    <w:p w14:paraId="5A7F90DC">
      <w:pPr>
        <w:rPr>
          <w:b/>
          <w:bCs/>
          <w:sz w:val="24"/>
          <w:szCs w:val="32"/>
          <w:highlight w:val="none"/>
        </w:rPr>
      </w:pPr>
      <w:r>
        <w:rPr>
          <w:rFonts w:hint="eastAsia"/>
          <w:b/>
          <w:bCs/>
          <w:sz w:val="24"/>
          <w:szCs w:val="32"/>
          <w:highlight w:val="none"/>
        </w:rPr>
        <w:t>评标方法：综合评分法（新价格分算法）</w:t>
      </w:r>
    </w:p>
    <w:p w14:paraId="0569AED8">
      <w:pPr>
        <w:pStyle w:val="38"/>
        <w:spacing w:before="0" w:beforeAutospacing="0" w:after="0" w:afterAutospacing="0"/>
        <w:ind w:firstLine="480" w:firstLineChars="200"/>
        <w:jc w:val="both"/>
        <w:rPr>
          <w:rFonts w:ascii="仿宋" w:hAnsi="仿宋" w:eastAsia="仿宋" w:cs="仿宋"/>
          <w:highlight w:val="none"/>
        </w:rPr>
      </w:pPr>
      <w:r>
        <w:rPr>
          <w:rFonts w:hint="eastAsia" w:ascii="仿宋" w:hAnsi="仿宋" w:eastAsia="仿宋" w:cs="仿宋"/>
          <w:highlight w:val="none"/>
        </w:rPr>
        <w:t xml:space="preserve">综合评分法，是指投标文件满足招标文件全部实质性要求，且按照评审因素的量化指标评审得分最高的投标人为中标候选人的评标方法。 </w:t>
      </w:r>
    </w:p>
    <w:tbl>
      <w:tblPr>
        <w:tblStyle w:val="141"/>
        <w:tblW w:w="8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716"/>
        <w:gridCol w:w="1275"/>
        <w:gridCol w:w="851"/>
        <w:gridCol w:w="4477"/>
      </w:tblGrid>
      <w:tr w14:paraId="58EC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01" w:type="dxa"/>
            <w:vAlign w:val="center"/>
          </w:tcPr>
          <w:p w14:paraId="2932991A">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2842" w:type="dxa"/>
            <w:gridSpan w:val="3"/>
            <w:vAlign w:val="center"/>
          </w:tcPr>
          <w:p w14:paraId="07FF3C78">
            <w:pPr>
              <w:wordWrap w:val="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评分项</w:t>
            </w:r>
          </w:p>
        </w:tc>
        <w:tc>
          <w:tcPr>
            <w:tcW w:w="4477" w:type="dxa"/>
            <w:vAlign w:val="center"/>
          </w:tcPr>
          <w:p w14:paraId="0B481364">
            <w:pPr>
              <w:wordWrap w:val="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权重</w:t>
            </w:r>
          </w:p>
        </w:tc>
      </w:tr>
      <w:tr w14:paraId="47C5D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restart"/>
            <w:vAlign w:val="center"/>
          </w:tcPr>
          <w:p w14:paraId="3595120D">
            <w:pPr>
              <w:wordWrap w:val="0"/>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1</w:t>
            </w:r>
          </w:p>
        </w:tc>
        <w:tc>
          <w:tcPr>
            <w:tcW w:w="2842" w:type="dxa"/>
            <w:gridSpan w:val="3"/>
            <w:vAlign w:val="center"/>
          </w:tcPr>
          <w:p w14:paraId="6A2C3634">
            <w:pPr>
              <w:wordWrap w:val="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价格</w:t>
            </w:r>
          </w:p>
        </w:tc>
        <w:tc>
          <w:tcPr>
            <w:tcW w:w="4477" w:type="dxa"/>
            <w:vAlign w:val="center"/>
          </w:tcPr>
          <w:p w14:paraId="2D91AF37">
            <w:pPr>
              <w:wordWrap w:val="0"/>
              <w:jc w:val="center"/>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40</w:t>
            </w:r>
          </w:p>
        </w:tc>
      </w:tr>
      <w:tr w14:paraId="1BE08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continue"/>
            <w:vAlign w:val="center"/>
          </w:tcPr>
          <w:p w14:paraId="6484C42D">
            <w:pPr>
              <w:rPr>
                <w:rFonts w:ascii="仿宋" w:hAnsi="仿宋" w:eastAsia="仿宋" w:cs="仿宋"/>
                <w:bCs/>
                <w:color w:val="auto"/>
                <w:sz w:val="24"/>
                <w:highlight w:val="none"/>
              </w:rPr>
            </w:pPr>
          </w:p>
        </w:tc>
        <w:tc>
          <w:tcPr>
            <w:tcW w:w="7319" w:type="dxa"/>
            <w:gridSpan w:val="4"/>
            <w:vAlign w:val="center"/>
          </w:tcPr>
          <w:p w14:paraId="70F846D2">
            <w:pPr>
              <w:adjustRightInd/>
              <w:snapToGrid/>
              <w:jc w:val="left"/>
              <w:rPr>
                <w:rFonts w:hint="eastAsia" w:ascii="仿宋" w:hAnsi="仿宋" w:eastAsia="仿宋" w:cs="仿宋"/>
                <w:color w:val="auto"/>
                <w:sz w:val="24"/>
                <w:szCs w:val="24"/>
                <w:highlight w:val="none"/>
              </w:rPr>
            </w:pPr>
            <w:bookmarkStart w:id="409" w:name="_Toc18965"/>
            <w:r>
              <w:rPr>
                <w:rFonts w:hint="eastAsia" w:ascii="仿宋" w:hAnsi="仿宋" w:eastAsia="仿宋" w:cs="仿宋"/>
                <w:color w:val="auto"/>
                <w:sz w:val="24"/>
                <w:szCs w:val="24"/>
                <w:highlight w:val="none"/>
              </w:rPr>
              <w:t>N=</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|投标人</w:t>
            </w:r>
            <w:r>
              <w:rPr>
                <w:rFonts w:hint="eastAsia" w:ascii="仿宋" w:hAnsi="仿宋" w:eastAsia="仿宋" w:cs="仿宋"/>
                <w:color w:val="auto"/>
                <w:sz w:val="24"/>
                <w:szCs w:val="24"/>
                <w:highlight w:val="none"/>
                <w:lang w:eastAsia="zh-CN"/>
              </w:rPr>
              <w:t>评审报价</w:t>
            </w:r>
            <w:r>
              <w:rPr>
                <w:rFonts w:hint="eastAsia" w:ascii="仿宋" w:hAnsi="仿宋" w:eastAsia="仿宋" w:cs="仿宋"/>
                <w:color w:val="auto"/>
                <w:sz w:val="24"/>
                <w:szCs w:val="24"/>
                <w:highlight w:val="none"/>
              </w:rPr>
              <w:t>-评标基准值|</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/评标基准值*100%</w:t>
            </w:r>
          </w:p>
          <w:p w14:paraId="7CDE0199">
            <w:pPr>
              <w:adjustRightInd/>
              <w:snapToGrid/>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 N≤3%时，投标得分为</w:t>
            </w:r>
            <w:r>
              <w:rPr>
                <w:rFonts w:hint="eastAsia" w:ascii="仿宋" w:hAnsi="仿宋" w:eastAsia="仿宋" w:cs="仿宋"/>
                <w:color w:val="auto"/>
                <w:sz w:val="24"/>
                <w:szCs w:val="24"/>
                <w:highlight w:val="none"/>
                <w:lang w:val="en-US" w:eastAsia="zh-CN"/>
              </w:rPr>
              <w:t>40</w:t>
            </w:r>
            <w:r>
              <w:rPr>
                <w:rFonts w:hint="eastAsia" w:ascii="仿宋" w:hAnsi="仿宋" w:eastAsia="仿宋" w:cs="仿宋"/>
                <w:color w:val="auto"/>
                <w:sz w:val="24"/>
                <w:szCs w:val="24"/>
                <w:highlight w:val="none"/>
              </w:rPr>
              <w:t>分；</w:t>
            </w:r>
          </w:p>
          <w:p w14:paraId="4E6D7131">
            <w:pPr>
              <w:adjustRightInd/>
              <w:snapToGrid/>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 3%＜N＜6%时，投标得分为</w:t>
            </w:r>
            <w:r>
              <w:rPr>
                <w:rFonts w:hint="eastAsia" w:ascii="仿宋" w:hAnsi="仿宋" w:eastAsia="仿宋" w:cs="仿宋"/>
                <w:color w:val="auto"/>
                <w:sz w:val="24"/>
                <w:szCs w:val="24"/>
                <w:highlight w:val="none"/>
                <w:lang w:val="en-US" w:eastAsia="zh-CN"/>
              </w:rPr>
              <w:t>37</w:t>
            </w:r>
            <w:r>
              <w:rPr>
                <w:rFonts w:hint="eastAsia" w:ascii="仿宋" w:hAnsi="仿宋" w:eastAsia="仿宋" w:cs="仿宋"/>
                <w:color w:val="auto"/>
                <w:sz w:val="24"/>
                <w:szCs w:val="24"/>
                <w:highlight w:val="none"/>
              </w:rPr>
              <w:t>分；</w:t>
            </w:r>
          </w:p>
          <w:p w14:paraId="52175F0D">
            <w:pPr>
              <w:adjustRightInd/>
              <w:snapToGrid/>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③ N≥6%时，投标得分为</w:t>
            </w:r>
            <w:r>
              <w:rPr>
                <w:rFonts w:hint="eastAsia" w:ascii="仿宋" w:hAnsi="仿宋" w:eastAsia="仿宋" w:cs="仿宋"/>
                <w:color w:val="auto"/>
                <w:sz w:val="24"/>
                <w:szCs w:val="24"/>
                <w:highlight w:val="none"/>
                <w:lang w:val="en-US" w:eastAsia="zh-CN"/>
              </w:rPr>
              <w:t>34</w:t>
            </w:r>
            <w:r>
              <w:rPr>
                <w:rFonts w:hint="eastAsia" w:ascii="仿宋" w:hAnsi="仿宋" w:eastAsia="仿宋" w:cs="仿宋"/>
                <w:color w:val="auto"/>
                <w:sz w:val="24"/>
                <w:szCs w:val="24"/>
                <w:highlight w:val="none"/>
              </w:rPr>
              <w:t>分。</w:t>
            </w:r>
          </w:p>
          <w:p w14:paraId="7FAC8EA0">
            <w:pPr>
              <w:adjustRightInd/>
              <w:snapToGrid/>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p>
          <w:p w14:paraId="160886F5">
            <w:pPr>
              <w:adjustRightInd/>
              <w:snapToGrid/>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当有效投标人数量≤</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时，满足招标文件要求的所有</w:t>
            </w:r>
            <w:r>
              <w:rPr>
                <w:rFonts w:hint="eastAsia" w:ascii="仿宋" w:hAnsi="仿宋" w:eastAsia="仿宋" w:cs="仿宋"/>
                <w:color w:val="auto"/>
                <w:sz w:val="24"/>
                <w:szCs w:val="24"/>
                <w:highlight w:val="none"/>
                <w:lang w:eastAsia="zh-CN"/>
              </w:rPr>
              <w:t>评审报价</w:t>
            </w:r>
            <w:r>
              <w:rPr>
                <w:rFonts w:hint="eastAsia" w:ascii="仿宋" w:hAnsi="仿宋" w:eastAsia="仿宋" w:cs="仿宋"/>
                <w:color w:val="auto"/>
                <w:sz w:val="24"/>
                <w:szCs w:val="24"/>
                <w:highlight w:val="none"/>
              </w:rPr>
              <w:t>平均值为评标基准值；</w:t>
            </w:r>
          </w:p>
          <w:p w14:paraId="412292FD">
            <w:pPr>
              <w:adjustRightInd/>
              <w:snapToGrid/>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2、10</w:t>
            </w:r>
            <w:r>
              <w:rPr>
                <w:rFonts w:hint="eastAsia" w:ascii="仿宋" w:hAnsi="仿宋" w:eastAsia="仿宋" w:cs="仿宋"/>
                <w:color w:val="auto"/>
                <w:sz w:val="24"/>
                <w:szCs w:val="24"/>
                <w:highlight w:val="none"/>
              </w:rPr>
              <w:t>＜有效投标人数量≤</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0时，去掉</w:t>
            </w:r>
            <w:r>
              <w:rPr>
                <w:rFonts w:hint="eastAsia" w:ascii="仿宋" w:hAnsi="仿宋" w:eastAsia="仿宋" w:cs="仿宋"/>
                <w:color w:val="auto"/>
                <w:sz w:val="24"/>
                <w:szCs w:val="24"/>
                <w:highlight w:val="none"/>
                <w:lang w:val="en-US" w:eastAsia="zh-CN"/>
              </w:rPr>
              <w:t>一</w:t>
            </w:r>
            <w:r>
              <w:rPr>
                <w:rFonts w:hint="eastAsia" w:ascii="仿宋" w:hAnsi="仿宋" w:eastAsia="仿宋" w:cs="仿宋"/>
                <w:color w:val="auto"/>
                <w:sz w:val="24"/>
                <w:szCs w:val="24"/>
                <w:highlight w:val="none"/>
              </w:rPr>
              <w:t>个最高报价和</w:t>
            </w:r>
            <w:r>
              <w:rPr>
                <w:rFonts w:hint="eastAsia" w:ascii="仿宋" w:hAnsi="仿宋" w:eastAsia="仿宋" w:cs="仿宋"/>
                <w:color w:val="auto"/>
                <w:sz w:val="24"/>
                <w:szCs w:val="24"/>
                <w:highlight w:val="none"/>
                <w:lang w:val="en-US" w:eastAsia="zh-CN"/>
              </w:rPr>
              <w:t>一</w:t>
            </w:r>
            <w:r>
              <w:rPr>
                <w:rFonts w:hint="eastAsia" w:ascii="仿宋" w:hAnsi="仿宋" w:eastAsia="仿宋" w:cs="仿宋"/>
                <w:color w:val="auto"/>
                <w:sz w:val="24"/>
                <w:szCs w:val="24"/>
                <w:highlight w:val="none"/>
              </w:rPr>
              <w:t>个最低</w:t>
            </w:r>
            <w:r>
              <w:rPr>
                <w:rFonts w:hint="eastAsia" w:ascii="仿宋" w:hAnsi="仿宋" w:eastAsia="仿宋" w:cs="仿宋"/>
                <w:color w:val="auto"/>
                <w:sz w:val="24"/>
                <w:szCs w:val="24"/>
                <w:highlight w:val="none"/>
                <w:lang w:eastAsia="zh-CN"/>
              </w:rPr>
              <w:t>评审报价</w:t>
            </w:r>
            <w:r>
              <w:rPr>
                <w:rFonts w:hint="eastAsia" w:ascii="仿宋" w:hAnsi="仿宋" w:eastAsia="仿宋" w:cs="仿宋"/>
                <w:color w:val="auto"/>
                <w:sz w:val="24"/>
                <w:szCs w:val="24"/>
                <w:highlight w:val="none"/>
              </w:rPr>
              <w:t>后，其余满足招标文件要求的</w:t>
            </w:r>
            <w:r>
              <w:rPr>
                <w:rFonts w:hint="eastAsia" w:ascii="仿宋" w:hAnsi="仿宋" w:eastAsia="仿宋" w:cs="仿宋"/>
                <w:color w:val="auto"/>
                <w:sz w:val="24"/>
                <w:szCs w:val="24"/>
                <w:highlight w:val="none"/>
                <w:lang w:eastAsia="zh-CN"/>
              </w:rPr>
              <w:t>评审报价</w:t>
            </w:r>
            <w:r>
              <w:rPr>
                <w:rFonts w:hint="eastAsia" w:ascii="仿宋" w:hAnsi="仿宋" w:eastAsia="仿宋" w:cs="仿宋"/>
                <w:color w:val="auto"/>
                <w:sz w:val="24"/>
                <w:szCs w:val="24"/>
                <w:highlight w:val="none"/>
              </w:rPr>
              <w:t>的平均值为评标基准值；</w:t>
            </w:r>
          </w:p>
          <w:p w14:paraId="5CA532E7">
            <w:pPr>
              <w:adjustRightInd/>
              <w:snapToGrid/>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有效投标人数量大于</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0时，去掉</w:t>
            </w:r>
            <w:r>
              <w:rPr>
                <w:rFonts w:hint="eastAsia" w:ascii="仿宋" w:hAnsi="仿宋" w:eastAsia="仿宋" w:cs="仿宋"/>
                <w:color w:val="auto"/>
                <w:sz w:val="24"/>
                <w:szCs w:val="24"/>
                <w:highlight w:val="none"/>
                <w:lang w:val="en-US" w:eastAsia="zh-CN"/>
              </w:rPr>
              <w:t>两</w:t>
            </w:r>
            <w:r>
              <w:rPr>
                <w:rFonts w:hint="eastAsia" w:ascii="仿宋" w:hAnsi="仿宋" w:eastAsia="仿宋" w:cs="仿宋"/>
                <w:color w:val="auto"/>
                <w:sz w:val="24"/>
                <w:szCs w:val="24"/>
                <w:highlight w:val="none"/>
              </w:rPr>
              <w:t>个最高报价和</w:t>
            </w:r>
            <w:r>
              <w:rPr>
                <w:rFonts w:hint="eastAsia" w:ascii="仿宋" w:hAnsi="仿宋" w:eastAsia="仿宋" w:cs="仿宋"/>
                <w:color w:val="auto"/>
                <w:sz w:val="24"/>
                <w:szCs w:val="24"/>
                <w:highlight w:val="none"/>
                <w:lang w:val="en-US" w:eastAsia="zh-CN"/>
              </w:rPr>
              <w:t>两</w:t>
            </w:r>
            <w:r>
              <w:rPr>
                <w:rFonts w:hint="eastAsia" w:ascii="仿宋" w:hAnsi="仿宋" w:eastAsia="仿宋" w:cs="仿宋"/>
                <w:color w:val="auto"/>
                <w:sz w:val="24"/>
                <w:szCs w:val="24"/>
                <w:highlight w:val="none"/>
              </w:rPr>
              <w:t>个最低</w:t>
            </w:r>
            <w:r>
              <w:rPr>
                <w:rFonts w:hint="eastAsia" w:ascii="仿宋" w:hAnsi="仿宋" w:eastAsia="仿宋" w:cs="仿宋"/>
                <w:color w:val="auto"/>
                <w:sz w:val="24"/>
                <w:szCs w:val="24"/>
                <w:highlight w:val="none"/>
                <w:lang w:eastAsia="zh-CN"/>
              </w:rPr>
              <w:t>评审报价</w:t>
            </w:r>
            <w:r>
              <w:rPr>
                <w:rFonts w:hint="eastAsia" w:ascii="仿宋" w:hAnsi="仿宋" w:eastAsia="仿宋" w:cs="仿宋"/>
                <w:color w:val="auto"/>
                <w:sz w:val="24"/>
                <w:szCs w:val="24"/>
                <w:highlight w:val="none"/>
              </w:rPr>
              <w:t>后，其余满足招标文件要求的</w:t>
            </w:r>
            <w:r>
              <w:rPr>
                <w:rFonts w:hint="eastAsia" w:ascii="仿宋" w:hAnsi="仿宋" w:eastAsia="仿宋" w:cs="仿宋"/>
                <w:color w:val="auto"/>
                <w:sz w:val="24"/>
                <w:szCs w:val="24"/>
                <w:highlight w:val="none"/>
                <w:lang w:eastAsia="zh-CN"/>
              </w:rPr>
              <w:t>评审报价</w:t>
            </w:r>
            <w:r>
              <w:rPr>
                <w:rFonts w:hint="eastAsia" w:ascii="仿宋" w:hAnsi="仿宋" w:eastAsia="仿宋" w:cs="仿宋"/>
                <w:color w:val="auto"/>
                <w:sz w:val="24"/>
                <w:szCs w:val="24"/>
                <w:highlight w:val="none"/>
              </w:rPr>
              <w:t>的平均值为评标基准值；</w:t>
            </w:r>
          </w:p>
          <w:p w14:paraId="37641B78">
            <w:pPr>
              <w:adjustRightInd/>
              <w:snapToGrid/>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评标基准值取至小数点后</w:t>
            </w:r>
            <w:r>
              <w:rPr>
                <w:rFonts w:hint="eastAsia" w:ascii="仿宋" w:hAnsi="仿宋" w:eastAsia="仿宋" w:cs="仿宋"/>
                <w:color w:val="auto"/>
                <w:sz w:val="24"/>
                <w:szCs w:val="24"/>
                <w:highlight w:val="none"/>
                <w:lang w:val="en-US" w:eastAsia="zh-CN"/>
              </w:rPr>
              <w:t>三</w:t>
            </w:r>
            <w:r>
              <w:rPr>
                <w:rFonts w:hint="eastAsia" w:ascii="仿宋" w:hAnsi="仿宋" w:eastAsia="仿宋" w:cs="仿宋"/>
                <w:color w:val="auto"/>
                <w:sz w:val="24"/>
                <w:szCs w:val="24"/>
                <w:highlight w:val="none"/>
              </w:rPr>
              <w:t>位；</w:t>
            </w:r>
          </w:p>
          <w:p w14:paraId="3C671943">
            <w:pPr>
              <w:adjustRightInd/>
              <w:snapToGrid/>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不论投标人的</w:t>
            </w:r>
            <w:r>
              <w:rPr>
                <w:rFonts w:hint="eastAsia" w:ascii="仿宋" w:hAnsi="仿宋" w:eastAsia="仿宋" w:cs="仿宋"/>
                <w:color w:val="auto"/>
                <w:sz w:val="24"/>
                <w:szCs w:val="24"/>
                <w:highlight w:val="none"/>
                <w:lang w:eastAsia="zh-CN"/>
              </w:rPr>
              <w:t>评审报价</w:t>
            </w:r>
            <w:r>
              <w:rPr>
                <w:rFonts w:hint="eastAsia" w:ascii="仿宋" w:hAnsi="仿宋" w:eastAsia="仿宋" w:cs="仿宋"/>
                <w:color w:val="auto"/>
                <w:sz w:val="24"/>
                <w:szCs w:val="24"/>
                <w:highlight w:val="none"/>
              </w:rPr>
              <w:t>是否参与了评标基准值的取值，其商务报价分均按上述原则计算；</w:t>
            </w:r>
          </w:p>
          <w:p w14:paraId="771A0390">
            <w:pPr>
              <w:pStyle w:val="38"/>
              <w:spacing w:before="0" w:beforeAutospacing="0" w:after="0" w:afterAutospacing="0"/>
              <w:ind w:firstLine="0" w:firstLineChars="0"/>
              <w:jc w:val="both"/>
              <w:rPr>
                <w:rFonts w:ascii="仿宋" w:hAnsi="仿宋" w:eastAsia="仿宋" w:cs="仿宋"/>
                <w:color w:val="auto"/>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有效投标人评审报价：投标人填写的“投标报价”和“增值税税率”，换算成投标人评审报价进行评标，投标人评审报价=投标报价-投标报价/（1+增值税率）*增值税率=1-投标下浮率-（1-投标下浮率）/（1+增值税税率）*增值税税率，结果保留三位小数。</w:t>
            </w:r>
            <w:bookmarkEnd w:id="409"/>
          </w:p>
        </w:tc>
      </w:tr>
      <w:tr w14:paraId="0CF6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restart"/>
            <w:vAlign w:val="center"/>
          </w:tcPr>
          <w:p w14:paraId="72103A31">
            <w:pPr>
              <w:wordWrap w:val="0"/>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2</w:t>
            </w:r>
          </w:p>
        </w:tc>
        <w:tc>
          <w:tcPr>
            <w:tcW w:w="2842" w:type="dxa"/>
            <w:gridSpan w:val="3"/>
            <w:vAlign w:val="center"/>
          </w:tcPr>
          <w:p w14:paraId="60540EB1">
            <w:pPr>
              <w:wordWrap w:val="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技术部分</w:t>
            </w:r>
          </w:p>
        </w:tc>
        <w:tc>
          <w:tcPr>
            <w:tcW w:w="4477" w:type="dxa"/>
            <w:vAlign w:val="center"/>
          </w:tcPr>
          <w:p w14:paraId="3CB53830">
            <w:pPr>
              <w:wordWrap w:val="0"/>
              <w:jc w:val="center"/>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25</w:t>
            </w:r>
          </w:p>
        </w:tc>
      </w:tr>
      <w:tr w14:paraId="71151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continue"/>
            <w:vAlign w:val="center"/>
          </w:tcPr>
          <w:p w14:paraId="1E899164">
            <w:pPr>
              <w:rPr>
                <w:rFonts w:ascii="仿宋" w:hAnsi="仿宋" w:eastAsia="仿宋" w:cs="仿宋"/>
                <w:bCs/>
                <w:color w:val="auto"/>
                <w:sz w:val="24"/>
                <w:highlight w:val="none"/>
              </w:rPr>
            </w:pPr>
          </w:p>
        </w:tc>
        <w:tc>
          <w:tcPr>
            <w:tcW w:w="716" w:type="dxa"/>
            <w:vAlign w:val="center"/>
          </w:tcPr>
          <w:p w14:paraId="55109DD4">
            <w:pPr>
              <w:wordWrap w:val="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275" w:type="dxa"/>
            <w:vAlign w:val="center"/>
          </w:tcPr>
          <w:p w14:paraId="6A0B3045">
            <w:pPr>
              <w:wordWrap w:val="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评分因素</w:t>
            </w:r>
          </w:p>
        </w:tc>
        <w:tc>
          <w:tcPr>
            <w:tcW w:w="851" w:type="dxa"/>
            <w:vAlign w:val="center"/>
          </w:tcPr>
          <w:p w14:paraId="47B8A9C1">
            <w:pPr>
              <w:wordWrap w:val="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权重</w:t>
            </w:r>
          </w:p>
        </w:tc>
        <w:tc>
          <w:tcPr>
            <w:tcW w:w="4477" w:type="dxa"/>
            <w:vAlign w:val="center"/>
          </w:tcPr>
          <w:p w14:paraId="26BEC324">
            <w:pPr>
              <w:wordWrap w:val="0"/>
              <w:jc w:val="center"/>
              <w:rPr>
                <w:rFonts w:hint="default" w:ascii="仿宋" w:hAnsi="仿宋" w:eastAsia="仿宋" w:cs="仿宋"/>
                <w:b/>
                <w:color w:val="auto"/>
                <w:sz w:val="24"/>
                <w:highlight w:val="none"/>
                <w:lang w:val="en-US"/>
              </w:rPr>
            </w:pPr>
            <w:r>
              <w:rPr>
                <w:rFonts w:hint="default" w:ascii="仿宋" w:hAnsi="仿宋" w:eastAsia="仿宋" w:cs="仿宋"/>
                <w:b/>
                <w:color w:val="auto"/>
                <w:sz w:val="24"/>
                <w:highlight w:val="none"/>
                <w:lang w:val="en-US"/>
              </w:rPr>
              <w:t>评分准则</w:t>
            </w:r>
          </w:p>
        </w:tc>
      </w:tr>
      <w:tr w14:paraId="72352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continue"/>
            <w:vAlign w:val="center"/>
          </w:tcPr>
          <w:p w14:paraId="5BDED7D8">
            <w:pPr>
              <w:rPr>
                <w:rFonts w:ascii="仿宋" w:hAnsi="仿宋" w:eastAsia="仿宋" w:cs="仿宋"/>
                <w:bCs/>
                <w:color w:val="auto"/>
                <w:sz w:val="24"/>
                <w:highlight w:val="none"/>
              </w:rPr>
            </w:pPr>
          </w:p>
        </w:tc>
        <w:tc>
          <w:tcPr>
            <w:tcW w:w="716" w:type="dxa"/>
            <w:vAlign w:val="center"/>
          </w:tcPr>
          <w:p w14:paraId="48434451">
            <w:pPr>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p>
        </w:tc>
        <w:tc>
          <w:tcPr>
            <w:tcW w:w="1275" w:type="dxa"/>
            <w:vAlign w:val="center"/>
          </w:tcPr>
          <w:p w14:paraId="02D3A9FC">
            <w:pPr>
              <w:jc w:val="center"/>
              <w:rPr>
                <w:rFonts w:ascii="仿宋" w:hAnsi="仿宋" w:eastAsia="仿宋" w:cs="仿宋"/>
                <w:color w:val="auto"/>
                <w:sz w:val="24"/>
                <w:highlight w:val="none"/>
              </w:rPr>
            </w:pPr>
            <w:r>
              <w:rPr>
                <w:rFonts w:hint="eastAsia" w:ascii="仿宋" w:hAnsi="仿宋" w:eastAsia="仿宋" w:cs="仿宋"/>
                <w:color w:val="auto"/>
                <w:sz w:val="24"/>
                <w:szCs w:val="24"/>
                <w:highlight w:val="none"/>
                <w:lang w:val="zh-CN"/>
              </w:rPr>
              <w:t>施工方案</w:t>
            </w:r>
          </w:p>
        </w:tc>
        <w:tc>
          <w:tcPr>
            <w:tcW w:w="851" w:type="dxa"/>
            <w:vAlign w:val="center"/>
          </w:tcPr>
          <w:p w14:paraId="7FA64F23">
            <w:pPr>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20</w:t>
            </w:r>
          </w:p>
        </w:tc>
        <w:tc>
          <w:tcPr>
            <w:tcW w:w="4477" w:type="dxa"/>
            <w:vAlign w:val="center"/>
          </w:tcPr>
          <w:p w14:paraId="1E985C33">
            <w:pPr>
              <w:adjustRightInd/>
              <w:snapToGrid/>
              <w:jc w:val="left"/>
              <w:rPr>
                <w:rFonts w:hint="eastAsia" w:ascii="仿宋" w:hAnsi="仿宋" w:eastAsia="仿宋" w:cs="仿宋"/>
                <w:bCs w:val="0"/>
                <w:color w:val="auto"/>
                <w:sz w:val="24"/>
                <w:szCs w:val="24"/>
                <w:highlight w:val="none"/>
              </w:rPr>
            </w:pPr>
            <w:r>
              <w:rPr>
                <w:rFonts w:hint="eastAsia" w:ascii="仿宋" w:hAnsi="仿宋" w:eastAsia="仿宋" w:cs="仿宋"/>
                <w:color w:val="auto"/>
                <w:sz w:val="24"/>
                <w:szCs w:val="24"/>
                <w:highlight w:val="none"/>
              </w:rPr>
              <w:t>（一）评分内容：</w:t>
            </w:r>
          </w:p>
          <w:p w14:paraId="4B184219">
            <w:pPr>
              <w:widowControl/>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根据投标人提供的施工方案（包括不限于：承诺质量、进度、安全等满足招标文件要求，施工总体安排、施工进度、安全、文明施工等保证措施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）进行评审。</w:t>
            </w:r>
          </w:p>
          <w:p w14:paraId="54A645B7">
            <w:pPr>
              <w:adjustRightInd/>
              <w:snapToGrid/>
              <w:jc w:val="left"/>
              <w:rPr>
                <w:rFonts w:hint="eastAsia" w:ascii="仿宋" w:hAnsi="仿宋" w:eastAsia="仿宋" w:cs="仿宋"/>
                <w:bCs w:val="0"/>
                <w:color w:val="auto"/>
                <w:sz w:val="24"/>
                <w:szCs w:val="24"/>
                <w:highlight w:val="none"/>
              </w:rPr>
            </w:pPr>
            <w:r>
              <w:rPr>
                <w:rFonts w:hint="eastAsia" w:ascii="仿宋" w:hAnsi="仿宋" w:eastAsia="仿宋" w:cs="仿宋"/>
                <w:color w:val="auto"/>
                <w:sz w:val="24"/>
                <w:szCs w:val="24"/>
                <w:highlight w:val="none"/>
              </w:rPr>
              <w:t>（二）评分标准：</w:t>
            </w:r>
            <w:r>
              <w:rPr>
                <w:rFonts w:hint="eastAsia" w:ascii="仿宋" w:hAnsi="仿宋" w:eastAsia="仿宋" w:cs="仿宋"/>
                <w:b w:val="0"/>
                <w:bCs w:val="0"/>
                <w:color w:val="auto"/>
                <w:sz w:val="24"/>
                <w:szCs w:val="24"/>
                <w:highlight w:val="none"/>
              </w:rPr>
              <w:t xml:space="preserve"> </w:t>
            </w:r>
          </w:p>
          <w:p w14:paraId="2A5903A7">
            <w:pPr>
              <w:widowControl/>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优：内容全面、合理、针对性强；</w:t>
            </w:r>
          </w:p>
          <w:p w14:paraId="16AE7E58">
            <w:pPr>
              <w:widowControl/>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良：内容较全面、较合理、针对性较强；</w:t>
            </w:r>
          </w:p>
          <w:p w14:paraId="533563B2">
            <w:pPr>
              <w:widowControl/>
              <w:spacing w:line="240" w:lineRule="auto"/>
              <w:ind w:left="0" w:firstLine="0" w:firstLineChar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中：内容、合理性、针对性一般 ；</w:t>
            </w:r>
          </w:p>
          <w:p w14:paraId="535AE66B">
            <w:pPr>
              <w:widowControl/>
              <w:spacing w:line="240" w:lineRule="auto"/>
              <w:ind w:left="0" w:firstLine="0" w:firstLineChar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差：施工方案整体较差。</w:t>
            </w:r>
          </w:p>
          <w:p w14:paraId="74F3746F">
            <w:pPr>
              <w:widowControl/>
              <w:jc w:val="left"/>
              <w:rPr>
                <w:rFonts w:hint="eastAsia" w:ascii="仿宋" w:hAnsi="仿宋" w:eastAsia="仿宋" w:cs="仿宋"/>
                <w:b w:val="0"/>
                <w:color w:val="auto"/>
                <w:sz w:val="24"/>
                <w:highlight w:val="none"/>
              </w:rPr>
            </w:pPr>
            <w:r>
              <w:rPr>
                <w:rFonts w:hint="eastAsia" w:ascii="仿宋" w:hAnsi="仿宋" w:eastAsia="仿宋" w:cs="仿宋"/>
                <w:color w:val="auto"/>
                <w:sz w:val="24"/>
                <w:szCs w:val="24"/>
                <w:highlight w:val="none"/>
              </w:rPr>
              <w:t>评价为优得</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分；评价为良得</w:t>
            </w: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分；评价为中得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分；评价为差不得分。</w:t>
            </w:r>
          </w:p>
        </w:tc>
      </w:tr>
      <w:tr w14:paraId="50013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continue"/>
            <w:vAlign w:val="center"/>
          </w:tcPr>
          <w:p w14:paraId="4D091C13">
            <w:pPr>
              <w:rPr>
                <w:rFonts w:ascii="仿宋" w:hAnsi="仿宋" w:eastAsia="仿宋" w:cs="仿宋"/>
                <w:bCs/>
                <w:color w:val="auto"/>
                <w:sz w:val="24"/>
                <w:highlight w:val="none"/>
              </w:rPr>
            </w:pPr>
          </w:p>
        </w:tc>
        <w:tc>
          <w:tcPr>
            <w:tcW w:w="716" w:type="dxa"/>
            <w:vAlign w:val="center"/>
          </w:tcPr>
          <w:p w14:paraId="3B8FC533">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1275" w:type="dxa"/>
            <w:vAlign w:val="center"/>
          </w:tcPr>
          <w:p w14:paraId="200EAECE">
            <w:pPr>
              <w:spacing w:line="240" w:lineRule="auto"/>
              <w:jc w:val="center"/>
              <w:rPr>
                <w:rFonts w:hint="eastAsia" w:ascii="仿宋" w:hAnsi="仿宋" w:eastAsia="仿宋" w:cs="仿宋"/>
                <w:color w:val="auto"/>
                <w:sz w:val="24"/>
                <w:highlight w:val="none"/>
                <w:lang w:val="fr-CH"/>
              </w:rPr>
            </w:pPr>
            <w:r>
              <w:rPr>
                <w:rFonts w:hint="eastAsia" w:ascii="仿宋" w:hAnsi="仿宋" w:eastAsia="仿宋" w:cs="仿宋"/>
                <w:color w:val="auto"/>
                <w:sz w:val="24"/>
                <w:szCs w:val="24"/>
                <w:highlight w:val="none"/>
                <w:lang w:val="fr-CH"/>
              </w:rPr>
              <w:t>机械设备</w:t>
            </w:r>
          </w:p>
        </w:tc>
        <w:tc>
          <w:tcPr>
            <w:tcW w:w="851" w:type="dxa"/>
            <w:vAlign w:val="center"/>
          </w:tcPr>
          <w:p w14:paraId="3C68C00A">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c>
          <w:tcPr>
            <w:tcW w:w="4477" w:type="dxa"/>
            <w:vAlign w:val="center"/>
          </w:tcPr>
          <w:p w14:paraId="49E93D27">
            <w:pPr>
              <w:widowControl/>
              <w:numPr>
                <w:ilvl w:val="0"/>
                <w:numId w:val="0"/>
              </w:numPr>
              <w:adjustRightInd/>
              <w:snapToGrid/>
              <w:jc w:val="left"/>
              <w:rPr>
                <w:rFonts w:hint="eastAsia" w:ascii="仿宋" w:hAnsi="仿宋" w:eastAsia="仿宋" w:cs="仿宋"/>
                <w:bCs w:val="0"/>
                <w:color w:val="auto"/>
                <w:sz w:val="24"/>
                <w:szCs w:val="24"/>
                <w:highlight w:val="none"/>
              </w:rPr>
            </w:pPr>
            <w:r>
              <w:rPr>
                <w:rFonts w:hint="eastAsia" w:ascii="仿宋" w:hAnsi="仿宋" w:eastAsia="仿宋" w:cs="仿宋"/>
                <w:color w:val="auto"/>
                <w:sz w:val="24"/>
                <w:szCs w:val="24"/>
                <w:highlight w:val="none"/>
              </w:rPr>
              <w:t>（一）评分内容：</w:t>
            </w:r>
          </w:p>
          <w:p w14:paraId="291092E4">
            <w:pPr>
              <w:widowControl/>
              <w:numPr>
                <w:ilvl w:val="-1"/>
                <w:numId w:val="0"/>
              </w:numPr>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1.投标人自有</w:t>
            </w:r>
            <w:r>
              <w:rPr>
                <w:rFonts w:hint="eastAsia" w:ascii="仿宋" w:hAnsi="仿宋" w:eastAsia="仿宋" w:cs="仿宋"/>
                <w:color w:val="auto"/>
                <w:sz w:val="24"/>
                <w:szCs w:val="24"/>
                <w:highlight w:val="none"/>
                <w:lang w:val="en-US" w:eastAsia="zh-CN"/>
              </w:rPr>
              <w:t>或租赁</w:t>
            </w:r>
            <w:r>
              <w:rPr>
                <w:rFonts w:hint="eastAsia" w:ascii="仿宋" w:hAnsi="仿宋" w:eastAsia="仿宋" w:cs="仿宋"/>
                <w:color w:val="auto"/>
                <w:sz w:val="24"/>
                <w:szCs w:val="24"/>
                <w:highlight w:val="none"/>
              </w:rPr>
              <w:t>机械（含高空作业车、吊车、防撞车、清洗车等）数量大于等于10台</w:t>
            </w:r>
            <w:r>
              <w:rPr>
                <w:rFonts w:hint="eastAsia" w:ascii="仿宋" w:hAnsi="仿宋" w:eastAsia="仿宋" w:cs="仿宋"/>
                <w:color w:val="auto"/>
                <w:sz w:val="24"/>
                <w:szCs w:val="24"/>
                <w:highlight w:val="none"/>
                <w:lang w:val="en-US" w:eastAsia="zh-CN"/>
              </w:rPr>
              <w:t>且其中</w:t>
            </w:r>
            <w:r>
              <w:rPr>
                <w:rFonts w:hint="eastAsia" w:ascii="仿宋" w:hAnsi="仿宋" w:eastAsia="仿宋" w:cs="仿宋"/>
                <w:color w:val="auto"/>
                <w:sz w:val="24"/>
                <w:szCs w:val="24"/>
                <w:highlight w:val="none"/>
              </w:rPr>
              <w:t>高空作业车、吊车、防撞车、清洗车</w:t>
            </w:r>
            <w:r>
              <w:rPr>
                <w:rFonts w:hint="eastAsia" w:ascii="仿宋" w:hAnsi="仿宋" w:eastAsia="仿宋" w:cs="仿宋"/>
                <w:color w:val="auto"/>
                <w:sz w:val="24"/>
                <w:szCs w:val="24"/>
                <w:highlight w:val="none"/>
                <w:lang w:val="en-US" w:eastAsia="zh-CN"/>
              </w:rPr>
              <w:t>各有1台以上的</w:t>
            </w:r>
            <w:r>
              <w:rPr>
                <w:rFonts w:hint="eastAsia" w:ascii="仿宋" w:hAnsi="仿宋" w:eastAsia="仿宋" w:cs="仿宋"/>
                <w:color w:val="auto"/>
                <w:sz w:val="24"/>
                <w:szCs w:val="24"/>
                <w:highlight w:val="none"/>
              </w:rPr>
              <w:t>，得5分；</w:t>
            </w:r>
          </w:p>
          <w:p w14:paraId="1E3809D2">
            <w:pPr>
              <w:widowControl/>
              <w:numPr>
                <w:ilvl w:val="-1"/>
                <w:numId w:val="0"/>
              </w:numPr>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2.投标人自有</w:t>
            </w:r>
            <w:r>
              <w:rPr>
                <w:rFonts w:hint="eastAsia" w:ascii="仿宋" w:hAnsi="仿宋" w:eastAsia="仿宋" w:cs="仿宋"/>
                <w:color w:val="auto"/>
                <w:sz w:val="24"/>
                <w:szCs w:val="24"/>
                <w:highlight w:val="none"/>
                <w:lang w:val="en-US" w:eastAsia="zh-CN"/>
              </w:rPr>
              <w:t>或租赁</w:t>
            </w:r>
            <w:r>
              <w:rPr>
                <w:rFonts w:hint="eastAsia" w:ascii="仿宋" w:hAnsi="仿宋" w:eastAsia="仿宋" w:cs="仿宋"/>
                <w:color w:val="auto"/>
                <w:sz w:val="24"/>
                <w:szCs w:val="24"/>
                <w:highlight w:val="none"/>
              </w:rPr>
              <w:t>机械（含高空作业车、吊车、防撞车、清洗车等）数量大于等于7台小于10台</w:t>
            </w:r>
            <w:r>
              <w:rPr>
                <w:rFonts w:hint="eastAsia" w:ascii="仿宋" w:hAnsi="仿宋" w:eastAsia="仿宋" w:cs="仿宋"/>
                <w:color w:val="auto"/>
                <w:sz w:val="24"/>
                <w:szCs w:val="24"/>
                <w:highlight w:val="none"/>
                <w:lang w:val="en-US" w:eastAsia="zh-CN"/>
              </w:rPr>
              <w:t>且其中</w:t>
            </w:r>
            <w:r>
              <w:rPr>
                <w:rFonts w:hint="eastAsia" w:ascii="仿宋" w:hAnsi="仿宋" w:eastAsia="仿宋" w:cs="仿宋"/>
                <w:color w:val="auto"/>
                <w:sz w:val="24"/>
                <w:szCs w:val="24"/>
                <w:highlight w:val="none"/>
              </w:rPr>
              <w:t>高空作业车、吊车、防撞车、清洗车</w:t>
            </w:r>
            <w:r>
              <w:rPr>
                <w:rFonts w:hint="eastAsia" w:ascii="仿宋" w:hAnsi="仿宋" w:eastAsia="仿宋" w:cs="仿宋"/>
                <w:color w:val="auto"/>
                <w:sz w:val="24"/>
                <w:szCs w:val="24"/>
                <w:highlight w:val="none"/>
                <w:lang w:val="en-US" w:eastAsia="zh-CN"/>
              </w:rPr>
              <w:t>各有1台以上的</w:t>
            </w:r>
            <w:r>
              <w:rPr>
                <w:rFonts w:hint="eastAsia" w:ascii="仿宋" w:hAnsi="仿宋" w:eastAsia="仿宋" w:cs="仿宋"/>
                <w:color w:val="auto"/>
                <w:sz w:val="24"/>
                <w:szCs w:val="24"/>
                <w:highlight w:val="none"/>
              </w:rPr>
              <w:t>，得3分；</w:t>
            </w:r>
          </w:p>
          <w:p w14:paraId="485ED329">
            <w:pPr>
              <w:widowControl/>
              <w:numPr>
                <w:ilvl w:val="-1"/>
                <w:numId w:val="0"/>
              </w:numPr>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3.投标人自有</w:t>
            </w:r>
            <w:r>
              <w:rPr>
                <w:rFonts w:hint="eastAsia" w:ascii="仿宋" w:hAnsi="仿宋" w:eastAsia="仿宋" w:cs="仿宋"/>
                <w:color w:val="auto"/>
                <w:sz w:val="24"/>
                <w:szCs w:val="24"/>
                <w:highlight w:val="none"/>
                <w:lang w:val="en-US" w:eastAsia="zh-CN"/>
              </w:rPr>
              <w:t>或租赁</w:t>
            </w:r>
            <w:r>
              <w:rPr>
                <w:rFonts w:hint="eastAsia" w:ascii="仿宋" w:hAnsi="仿宋" w:eastAsia="仿宋" w:cs="仿宋"/>
                <w:color w:val="auto"/>
                <w:sz w:val="24"/>
                <w:szCs w:val="24"/>
                <w:highlight w:val="none"/>
              </w:rPr>
              <w:t>机械（含高空作业车、吊车、防撞车、清洗车等）数量大于等于4台小于7台</w:t>
            </w:r>
            <w:r>
              <w:rPr>
                <w:rFonts w:hint="eastAsia" w:ascii="仿宋" w:hAnsi="仿宋" w:eastAsia="仿宋" w:cs="仿宋"/>
                <w:color w:val="auto"/>
                <w:sz w:val="24"/>
                <w:szCs w:val="24"/>
                <w:highlight w:val="none"/>
                <w:lang w:val="en-US" w:eastAsia="zh-CN"/>
              </w:rPr>
              <w:t>且其中</w:t>
            </w:r>
            <w:r>
              <w:rPr>
                <w:rFonts w:hint="eastAsia" w:ascii="仿宋" w:hAnsi="仿宋" w:eastAsia="仿宋" w:cs="仿宋"/>
                <w:color w:val="auto"/>
                <w:sz w:val="24"/>
                <w:szCs w:val="24"/>
                <w:highlight w:val="none"/>
              </w:rPr>
              <w:t>高空作业车、吊车、防撞车、清洗车</w:t>
            </w:r>
            <w:r>
              <w:rPr>
                <w:rFonts w:hint="eastAsia" w:ascii="仿宋" w:hAnsi="仿宋" w:eastAsia="仿宋" w:cs="仿宋"/>
                <w:color w:val="auto"/>
                <w:sz w:val="24"/>
                <w:szCs w:val="24"/>
                <w:highlight w:val="none"/>
                <w:lang w:val="en-US" w:eastAsia="zh-CN"/>
              </w:rPr>
              <w:t>各有1台以上的</w:t>
            </w:r>
            <w:r>
              <w:rPr>
                <w:rFonts w:hint="eastAsia" w:ascii="仿宋" w:hAnsi="仿宋" w:eastAsia="仿宋" w:cs="仿宋"/>
                <w:color w:val="auto"/>
                <w:sz w:val="24"/>
                <w:szCs w:val="24"/>
                <w:highlight w:val="none"/>
              </w:rPr>
              <w:t>得1分；</w:t>
            </w:r>
          </w:p>
          <w:p w14:paraId="47615CDE">
            <w:pPr>
              <w:widowControl/>
              <w:numPr>
                <w:ilvl w:val="-1"/>
                <w:numId w:val="0"/>
              </w:numPr>
              <w:spacing w:after="0" w:line="240" w:lineRule="auto"/>
              <w:ind w:left="0" w:leftChars="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w:t>
            </w:r>
            <w:r>
              <w:rPr>
                <w:rFonts w:hint="eastAsia" w:ascii="仿宋" w:hAnsi="仿宋" w:eastAsia="仿宋" w:cs="仿宋"/>
                <w:color w:val="auto"/>
                <w:sz w:val="24"/>
                <w:szCs w:val="24"/>
                <w:highlight w:val="none"/>
              </w:rPr>
              <w:t>投标人自有</w:t>
            </w:r>
            <w:r>
              <w:rPr>
                <w:rFonts w:hint="eastAsia" w:ascii="仿宋" w:hAnsi="仿宋" w:eastAsia="仿宋" w:cs="仿宋"/>
                <w:color w:val="auto"/>
                <w:sz w:val="24"/>
                <w:szCs w:val="24"/>
                <w:highlight w:val="none"/>
                <w:lang w:val="en-US" w:eastAsia="zh-CN"/>
              </w:rPr>
              <w:t>或租赁</w:t>
            </w:r>
            <w:r>
              <w:rPr>
                <w:rFonts w:hint="eastAsia" w:ascii="仿宋" w:hAnsi="仿宋" w:eastAsia="仿宋" w:cs="仿宋"/>
                <w:color w:val="auto"/>
                <w:sz w:val="24"/>
                <w:szCs w:val="24"/>
                <w:highlight w:val="none"/>
              </w:rPr>
              <w:t>机械（含高空作业车、吊车、防撞车、清洗车等）</w:t>
            </w:r>
            <w:r>
              <w:rPr>
                <w:rFonts w:hint="eastAsia" w:ascii="仿宋" w:hAnsi="仿宋" w:eastAsia="仿宋" w:cs="仿宋"/>
                <w:color w:val="auto"/>
                <w:kern w:val="2"/>
                <w:sz w:val="24"/>
                <w:szCs w:val="24"/>
                <w:highlight w:val="none"/>
                <w:lang w:val="en-US" w:eastAsia="zh-CN" w:bidi="ar-SA"/>
              </w:rPr>
              <w:t>小于4台不得分。</w:t>
            </w:r>
          </w:p>
          <w:p w14:paraId="63D764A1">
            <w:pPr>
              <w:widowControl/>
              <w:numPr>
                <w:ilvl w:val="0"/>
                <w:numId w:val="0"/>
              </w:numPr>
              <w:jc w:val="left"/>
              <w:rPr>
                <w:rFonts w:hint="eastAsia"/>
                <w:color w:val="auto"/>
                <w:highlight w:val="none"/>
              </w:rPr>
            </w:pPr>
            <w:r>
              <w:rPr>
                <w:rFonts w:hint="eastAsia" w:ascii="仿宋" w:hAnsi="仿宋" w:eastAsia="仿宋" w:cs="仿宋"/>
                <w:color w:val="auto"/>
                <w:sz w:val="24"/>
                <w:szCs w:val="24"/>
                <w:highlight w:val="none"/>
              </w:rPr>
              <w:t>（二）评分依据：</w:t>
            </w:r>
            <w:r>
              <w:rPr>
                <w:rFonts w:hint="eastAsia" w:ascii="仿宋" w:hAnsi="仿宋" w:eastAsia="仿宋" w:cs="仿宋"/>
                <w:b w:val="0"/>
                <w:bCs w:val="0"/>
                <w:color w:val="auto"/>
                <w:sz w:val="24"/>
                <w:szCs w:val="24"/>
                <w:highlight w:val="none"/>
              </w:rPr>
              <w:t xml:space="preserve"> </w:t>
            </w:r>
          </w:p>
          <w:p w14:paraId="200DCE21">
            <w:pPr>
              <w:widowControl/>
              <w:numPr>
                <w:ilvl w:val="-1"/>
                <w:numId w:val="0"/>
              </w:numPr>
              <w:spacing w:line="240" w:lineRule="auto"/>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自有机械</w:t>
            </w:r>
            <w:r>
              <w:rPr>
                <w:rFonts w:hint="eastAsia" w:ascii="仿宋" w:hAnsi="仿宋" w:eastAsia="仿宋" w:cs="仿宋"/>
                <w:b w:val="0"/>
                <w:bCs w:val="0"/>
                <w:color w:val="auto"/>
                <w:sz w:val="24"/>
                <w:szCs w:val="24"/>
                <w:highlight w:val="none"/>
                <w:lang w:val="en-US" w:eastAsia="zh-CN"/>
              </w:rPr>
              <w:t>提供与投标人名称一致的在有效期内的</w:t>
            </w:r>
            <w:r>
              <w:rPr>
                <w:rFonts w:hint="eastAsia" w:ascii="仿宋" w:hAnsi="仿宋" w:eastAsia="仿宋" w:cs="仿宋"/>
                <w:b w:val="0"/>
                <w:bCs w:val="0"/>
                <w:color w:val="auto"/>
                <w:sz w:val="24"/>
                <w:szCs w:val="24"/>
                <w:highlight w:val="none"/>
              </w:rPr>
              <w:t>车辆行驶证、</w:t>
            </w:r>
            <w:r>
              <w:rPr>
                <w:rFonts w:hint="eastAsia" w:ascii="仿宋" w:hAnsi="仿宋" w:eastAsia="仿宋" w:cs="仿宋"/>
                <w:b w:val="0"/>
                <w:bCs w:val="0"/>
                <w:color w:val="auto"/>
                <w:sz w:val="24"/>
                <w:szCs w:val="24"/>
                <w:highlight w:val="none"/>
                <w:lang w:val="en-US" w:eastAsia="zh-CN"/>
              </w:rPr>
              <w:t>购置发票及</w:t>
            </w:r>
            <w:r>
              <w:rPr>
                <w:rFonts w:hint="eastAsia" w:ascii="仿宋" w:hAnsi="仿宋" w:eastAsia="仿宋" w:cs="仿宋"/>
                <w:b w:val="0"/>
                <w:bCs w:val="0"/>
                <w:color w:val="auto"/>
                <w:sz w:val="24"/>
                <w:szCs w:val="24"/>
                <w:highlight w:val="none"/>
              </w:rPr>
              <w:t>机械照片；</w:t>
            </w:r>
          </w:p>
          <w:p w14:paraId="258A2911">
            <w:pPr>
              <w:widowControl/>
              <w:numPr>
                <w:ilvl w:val="-1"/>
                <w:numId w:val="0"/>
              </w:numPr>
              <w:spacing w:line="240" w:lineRule="auto"/>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租赁机械</w:t>
            </w:r>
            <w:r>
              <w:rPr>
                <w:rFonts w:hint="eastAsia" w:ascii="仿宋" w:hAnsi="仿宋" w:eastAsia="仿宋" w:cs="仿宋"/>
                <w:b w:val="0"/>
                <w:bCs w:val="0"/>
                <w:color w:val="auto"/>
                <w:sz w:val="24"/>
                <w:szCs w:val="24"/>
                <w:highlight w:val="none"/>
                <w:lang w:val="en-US" w:eastAsia="zh-CN"/>
              </w:rPr>
              <w:t>提供在</w:t>
            </w:r>
            <w:r>
              <w:rPr>
                <w:rFonts w:hint="eastAsia" w:ascii="仿宋" w:hAnsi="仿宋" w:eastAsia="仿宋" w:cs="仿宋"/>
                <w:b w:val="0"/>
                <w:bCs w:val="0"/>
                <w:color w:val="auto"/>
                <w:sz w:val="24"/>
                <w:szCs w:val="24"/>
                <w:highlight w:val="none"/>
              </w:rPr>
              <w:t>有效期内的行驶证</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租赁合同</w:t>
            </w:r>
            <w:r>
              <w:rPr>
                <w:rFonts w:hint="eastAsia" w:ascii="仿宋" w:hAnsi="仿宋" w:eastAsia="仿宋" w:cs="仿宋"/>
                <w:b w:val="0"/>
                <w:bCs w:val="0"/>
                <w:color w:val="auto"/>
                <w:sz w:val="24"/>
                <w:szCs w:val="24"/>
                <w:highlight w:val="none"/>
              </w:rPr>
              <w:t>及</w:t>
            </w:r>
            <w:r>
              <w:rPr>
                <w:rFonts w:hint="eastAsia" w:ascii="仿宋" w:hAnsi="仿宋" w:eastAsia="仿宋" w:cs="仿宋"/>
                <w:b w:val="0"/>
                <w:bCs w:val="0"/>
                <w:color w:val="auto"/>
                <w:sz w:val="24"/>
                <w:szCs w:val="24"/>
                <w:highlight w:val="none"/>
                <w:lang w:val="en-US" w:eastAsia="zh-CN"/>
              </w:rPr>
              <w:t>机械照片</w:t>
            </w:r>
            <w:r>
              <w:rPr>
                <w:rFonts w:hint="eastAsia" w:ascii="仿宋" w:hAnsi="仿宋" w:eastAsia="仿宋" w:cs="仿宋"/>
                <w:b w:val="0"/>
                <w:bCs w:val="0"/>
                <w:color w:val="auto"/>
                <w:sz w:val="24"/>
                <w:szCs w:val="24"/>
                <w:highlight w:val="none"/>
              </w:rPr>
              <w:t>，租赁合同期限应涵盖本项目服务期，即自本项目开标日起一年内有效。</w:t>
            </w:r>
          </w:p>
          <w:p w14:paraId="0B7CDEF5">
            <w:pPr>
              <w:widowControl/>
              <w:numPr>
                <w:ilvl w:val="0"/>
                <w:numId w:val="0"/>
              </w:numPr>
              <w:spacing w:line="240" w:lineRule="auto"/>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证明文件必须体现投标人名称，否则不得分；</w:t>
            </w:r>
          </w:p>
          <w:p w14:paraId="21724D6C">
            <w:pPr>
              <w:widowControl/>
              <w:numPr>
                <w:ilvl w:val="0"/>
                <w:numId w:val="0"/>
              </w:numPr>
              <w:jc w:val="left"/>
              <w:rPr>
                <w:rFonts w:hint="eastAsia" w:ascii="仿宋" w:hAnsi="仿宋" w:eastAsia="仿宋" w:cs="仿宋"/>
                <w:color w:val="auto"/>
                <w:sz w:val="24"/>
                <w:highlight w:val="none"/>
              </w:rPr>
            </w:pPr>
            <w:r>
              <w:rPr>
                <w:rFonts w:hint="eastAsia" w:ascii="仿宋" w:hAnsi="仿宋" w:eastAsia="仿宋" w:cs="仿宋"/>
                <w:b w:val="0"/>
                <w:bCs w:val="0"/>
                <w:color w:val="auto"/>
                <w:sz w:val="24"/>
                <w:szCs w:val="24"/>
                <w:highlight w:val="none"/>
                <w:lang w:eastAsia="zh-CN"/>
              </w:rPr>
              <w:t>4</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以上资料均应提供扫描件，</w:t>
            </w:r>
            <w:r>
              <w:rPr>
                <w:rFonts w:hint="eastAsia" w:ascii="仿宋" w:hAnsi="仿宋" w:eastAsia="仿宋" w:cs="仿宋"/>
                <w:b w:val="0"/>
                <w:bCs w:val="0"/>
                <w:color w:val="auto"/>
                <w:sz w:val="24"/>
                <w:szCs w:val="24"/>
                <w:highlight w:val="none"/>
              </w:rPr>
              <w:t>原件备查，未提供或证明材料不符合要求或不清晰无法判断的不得分。</w:t>
            </w:r>
          </w:p>
        </w:tc>
      </w:tr>
      <w:tr w14:paraId="7C6B9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restart"/>
            <w:vAlign w:val="center"/>
          </w:tcPr>
          <w:p w14:paraId="576CA4C9">
            <w:pPr>
              <w:wordWrap w:val="0"/>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3</w:t>
            </w:r>
          </w:p>
          <w:p w14:paraId="52232382">
            <w:pPr>
              <w:wordWrap w:val="0"/>
              <w:rPr>
                <w:rFonts w:ascii="仿宋" w:hAnsi="仿宋" w:eastAsia="仿宋" w:cs="仿宋"/>
                <w:bCs/>
                <w:color w:val="auto"/>
                <w:sz w:val="24"/>
                <w:highlight w:val="none"/>
              </w:rPr>
            </w:pPr>
          </w:p>
        </w:tc>
        <w:tc>
          <w:tcPr>
            <w:tcW w:w="2842" w:type="dxa"/>
            <w:gridSpan w:val="3"/>
            <w:vAlign w:val="center"/>
          </w:tcPr>
          <w:p w14:paraId="594E96B7">
            <w:pPr>
              <w:wordWrap w:val="0"/>
              <w:jc w:val="center"/>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综合实力部分</w:t>
            </w:r>
          </w:p>
        </w:tc>
        <w:tc>
          <w:tcPr>
            <w:tcW w:w="4477" w:type="dxa"/>
            <w:vAlign w:val="center"/>
          </w:tcPr>
          <w:p w14:paraId="56A4BCEB">
            <w:pPr>
              <w:wordWrap w:val="0"/>
              <w:jc w:val="center"/>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35</w:t>
            </w:r>
          </w:p>
        </w:tc>
      </w:tr>
      <w:tr w14:paraId="01AD3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continue"/>
            <w:vAlign w:val="center"/>
          </w:tcPr>
          <w:p w14:paraId="739A13D9">
            <w:pPr>
              <w:rPr>
                <w:rFonts w:ascii="仿宋" w:hAnsi="仿宋" w:eastAsia="仿宋" w:cs="仿宋"/>
                <w:bCs/>
                <w:color w:val="auto"/>
                <w:sz w:val="24"/>
                <w:highlight w:val="none"/>
              </w:rPr>
            </w:pPr>
          </w:p>
        </w:tc>
        <w:tc>
          <w:tcPr>
            <w:tcW w:w="716" w:type="dxa"/>
            <w:vAlign w:val="center"/>
          </w:tcPr>
          <w:p w14:paraId="1A0020B8">
            <w:pPr>
              <w:wordWrap w:val="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275" w:type="dxa"/>
            <w:vAlign w:val="center"/>
          </w:tcPr>
          <w:p w14:paraId="7D572177">
            <w:pPr>
              <w:wordWrap w:val="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评分因素</w:t>
            </w:r>
          </w:p>
        </w:tc>
        <w:tc>
          <w:tcPr>
            <w:tcW w:w="851" w:type="dxa"/>
            <w:vAlign w:val="center"/>
          </w:tcPr>
          <w:p w14:paraId="2855E00E">
            <w:pPr>
              <w:wordWrap w:val="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权重</w:t>
            </w:r>
          </w:p>
        </w:tc>
        <w:tc>
          <w:tcPr>
            <w:tcW w:w="4477" w:type="dxa"/>
            <w:vAlign w:val="center"/>
          </w:tcPr>
          <w:p w14:paraId="4E31DD78">
            <w:pPr>
              <w:wordWrap w:val="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评分准则</w:t>
            </w:r>
          </w:p>
        </w:tc>
      </w:tr>
      <w:tr w14:paraId="7EC7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continue"/>
            <w:vAlign w:val="center"/>
          </w:tcPr>
          <w:p w14:paraId="33B672B9">
            <w:pPr>
              <w:rPr>
                <w:rFonts w:ascii="仿宋" w:hAnsi="仿宋" w:eastAsia="仿宋" w:cs="仿宋"/>
                <w:bCs/>
                <w:color w:val="auto"/>
                <w:sz w:val="24"/>
                <w:highlight w:val="none"/>
              </w:rPr>
            </w:pPr>
          </w:p>
        </w:tc>
        <w:tc>
          <w:tcPr>
            <w:tcW w:w="716" w:type="dxa"/>
            <w:vAlign w:val="center"/>
          </w:tcPr>
          <w:p w14:paraId="067F8326">
            <w:pPr>
              <w:jc w:val="center"/>
              <w:rPr>
                <w:rFonts w:hint="eastAsia" w:ascii="仿宋" w:hAnsi="仿宋" w:eastAsia="仿宋" w:cs="仿宋"/>
                <w:b/>
                <w:color w:val="auto"/>
                <w:sz w:val="24"/>
                <w:highlight w:val="none"/>
              </w:rPr>
            </w:pPr>
            <w:r>
              <w:rPr>
                <w:rFonts w:hint="eastAsia" w:ascii="仿宋" w:hAnsi="仿宋" w:eastAsia="仿宋" w:cs="仿宋"/>
                <w:color w:val="auto"/>
                <w:sz w:val="24"/>
                <w:highlight w:val="none"/>
              </w:rPr>
              <w:t>1</w:t>
            </w:r>
          </w:p>
        </w:tc>
        <w:tc>
          <w:tcPr>
            <w:tcW w:w="1275" w:type="dxa"/>
            <w:vAlign w:val="center"/>
          </w:tcPr>
          <w:p w14:paraId="324BF693">
            <w:pPr>
              <w:adjustRightInd/>
              <w:snapToGrid/>
              <w:jc w:val="center"/>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lang w:val="fr-CH"/>
              </w:rPr>
              <w:t>拟投入</w:t>
            </w:r>
            <w:r>
              <w:rPr>
                <w:rFonts w:hint="eastAsia" w:ascii="仿宋" w:hAnsi="仿宋" w:eastAsia="仿宋" w:cs="仿宋"/>
                <w:color w:val="auto"/>
                <w:sz w:val="24"/>
                <w:szCs w:val="24"/>
                <w:highlight w:val="none"/>
              </w:rPr>
              <w:t>人员</w:t>
            </w:r>
          </w:p>
        </w:tc>
        <w:tc>
          <w:tcPr>
            <w:tcW w:w="851" w:type="dxa"/>
            <w:vAlign w:val="center"/>
          </w:tcPr>
          <w:p w14:paraId="1DFA46E4">
            <w:pPr>
              <w:jc w:val="center"/>
              <w:rPr>
                <w:rFonts w:hint="eastAsia" w:ascii="仿宋" w:hAnsi="仿宋" w:eastAsia="仿宋" w:cs="仿宋"/>
                <w:b/>
                <w:color w:val="auto"/>
                <w:sz w:val="24"/>
                <w:highlight w:val="none"/>
              </w:rPr>
            </w:pPr>
            <w:r>
              <w:rPr>
                <w:rFonts w:hint="eastAsia" w:ascii="仿宋" w:hAnsi="仿宋" w:eastAsia="仿宋" w:cs="仿宋"/>
                <w:color w:val="auto"/>
                <w:sz w:val="24"/>
                <w:highlight w:val="none"/>
                <w:lang w:val="en-US" w:eastAsia="zh-CN"/>
              </w:rPr>
              <w:t>10</w:t>
            </w:r>
          </w:p>
        </w:tc>
        <w:tc>
          <w:tcPr>
            <w:tcW w:w="4477" w:type="dxa"/>
            <w:vAlign w:val="center"/>
          </w:tcPr>
          <w:p w14:paraId="3F96A83D">
            <w:pPr>
              <w:adjustRightInd/>
              <w:snapToGrid/>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（一）评分内容：</w:t>
            </w:r>
          </w:p>
          <w:p w14:paraId="3369E266">
            <w:pPr>
              <w:widowControl/>
              <w:spacing w:line="300" w:lineRule="exact"/>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拟安排的项目现场负责人需具有3年以上（含3年）市政施工管理经验且取得二级及以上建造师注册证书</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市政或公路专业）</w:t>
            </w:r>
            <w:r>
              <w:rPr>
                <w:rFonts w:hint="eastAsia" w:ascii="仿宋" w:hAnsi="仿宋" w:eastAsia="仿宋" w:cs="仿宋"/>
                <w:b w:val="0"/>
                <w:bCs w:val="0"/>
                <w:color w:val="auto"/>
                <w:sz w:val="24"/>
                <w:szCs w:val="24"/>
                <w:highlight w:val="none"/>
              </w:rPr>
              <w:t>，得5分；</w:t>
            </w:r>
          </w:p>
          <w:p w14:paraId="3F3386B4">
            <w:pPr>
              <w:widowControl/>
              <w:spacing w:line="300" w:lineRule="exact"/>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2.拟安排的项目现场管理人员</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提供2名以上（含2名）具有工程技术专业初级或以上职称，得2分；提供1名具有工程技术专业初级职称</w:t>
            </w:r>
            <w:r>
              <w:rPr>
                <w:rFonts w:hint="eastAsia" w:ascii="仿宋" w:hAnsi="仿宋" w:eastAsia="仿宋" w:cs="仿宋"/>
                <w:b w:val="0"/>
                <w:bCs w:val="0"/>
                <w:color w:val="auto"/>
                <w:sz w:val="24"/>
                <w:szCs w:val="24"/>
                <w:highlight w:val="none"/>
                <w:lang w:val="en-US" w:eastAsia="zh-CN"/>
              </w:rPr>
              <w:t>或以上</w:t>
            </w:r>
            <w:r>
              <w:rPr>
                <w:rFonts w:hint="eastAsia" w:ascii="仿宋" w:hAnsi="仿宋" w:eastAsia="仿宋" w:cs="仿宋"/>
                <w:b w:val="0"/>
                <w:bCs w:val="0"/>
                <w:color w:val="auto"/>
                <w:sz w:val="24"/>
                <w:szCs w:val="24"/>
                <w:highlight w:val="none"/>
              </w:rPr>
              <w:t>的，得1分；</w:t>
            </w:r>
          </w:p>
          <w:p w14:paraId="29C92D96">
            <w:pPr>
              <w:widowControl/>
              <w:spacing w:line="300" w:lineRule="exact"/>
              <w:jc w:val="left"/>
              <w:rPr>
                <w:highlight w:val="none"/>
              </w:rPr>
            </w:pPr>
            <w:r>
              <w:rPr>
                <w:rFonts w:hint="eastAsia" w:ascii="仿宋" w:hAnsi="仿宋" w:eastAsia="仿宋" w:cs="仿宋"/>
                <w:b w:val="0"/>
                <w:bCs w:val="0"/>
                <w:color w:val="auto"/>
                <w:sz w:val="24"/>
                <w:szCs w:val="24"/>
                <w:highlight w:val="none"/>
              </w:rPr>
              <w:t>3.拟投入专职安全员</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具有安全员C证不少于1人，得3分；</w:t>
            </w:r>
          </w:p>
          <w:p w14:paraId="19C5CB19">
            <w:pPr>
              <w:adjustRightInd/>
              <w:snapToGrid/>
              <w:jc w:val="left"/>
              <w:rPr>
                <w:rFonts w:hint="eastAsia" w:ascii="仿宋" w:hAnsi="仿宋" w:eastAsia="仿宋" w:cs="仿宋"/>
                <w:b w:val="0"/>
                <w:bCs w:val="0"/>
                <w:color w:val="auto"/>
                <w:kern w:val="2"/>
                <w:sz w:val="24"/>
                <w:szCs w:val="24"/>
                <w:highlight w:val="none"/>
                <w:shd w:val="clear"/>
                <w:lang w:val="en-US" w:eastAsia="zh-CN" w:bidi="ar-SA"/>
              </w:rPr>
            </w:pPr>
            <w:r>
              <w:rPr>
                <w:rFonts w:hint="eastAsia" w:ascii="仿宋" w:hAnsi="仿宋" w:eastAsia="仿宋" w:cs="仿宋"/>
                <w:b w:val="0"/>
                <w:bCs w:val="0"/>
                <w:color w:val="auto"/>
                <w:kern w:val="2"/>
                <w:sz w:val="24"/>
                <w:szCs w:val="24"/>
                <w:highlight w:val="none"/>
                <w:shd w:val="clear"/>
                <w:lang w:val="en-US" w:eastAsia="zh-CN" w:bidi="ar-SA"/>
              </w:rPr>
              <w:t>注：以上人员不得兼任，同一人员满足多项得分要求的只计最高得分项。</w:t>
            </w:r>
          </w:p>
          <w:p w14:paraId="42F605D5">
            <w:pPr>
              <w:adjustRightInd/>
              <w:snapToGrid/>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以上累计计分最高得10分。</w:t>
            </w:r>
          </w:p>
          <w:p w14:paraId="52C079C1">
            <w:pPr>
              <w:adjustRightInd/>
              <w:snapToGrid/>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rPr>
              <w:t>（二）评分依据：</w:t>
            </w:r>
            <w:r>
              <w:rPr>
                <w:rFonts w:hint="eastAsia" w:ascii="仿宋" w:hAnsi="仿宋" w:eastAsia="仿宋" w:cs="仿宋"/>
                <w:b w:val="0"/>
                <w:bCs w:val="0"/>
                <w:color w:val="auto"/>
                <w:sz w:val="24"/>
                <w:szCs w:val="24"/>
                <w:highlight w:val="none"/>
              </w:rPr>
              <w:t xml:space="preserve"> </w:t>
            </w:r>
          </w:p>
          <w:p w14:paraId="1007B91F">
            <w:pPr>
              <w:widowControl/>
              <w:spacing w:line="300" w:lineRule="exact"/>
              <w:jc w:val="left"/>
              <w:rPr>
                <w:rFonts w:hint="eastAsia" w:ascii="仿宋" w:hAnsi="仿宋" w:eastAsia="仿宋" w:cs="仿宋"/>
                <w:b w:val="0"/>
                <w:bCs w:val="0"/>
                <w:color w:val="auto"/>
                <w:sz w:val="24"/>
                <w:szCs w:val="24"/>
                <w:highlight w:val="none"/>
              </w:rPr>
            </w:pPr>
            <w:r>
              <w:rPr>
                <w:rFonts w:hint="eastAsia" w:ascii="仿宋" w:hAnsi="仿宋" w:eastAsia="仿宋" w:cs="仿宋"/>
                <w:color w:val="auto"/>
                <w:sz w:val="24"/>
                <w:szCs w:val="24"/>
                <w:highlight w:val="none"/>
              </w:rPr>
              <w:t>证明材料：</w:t>
            </w:r>
            <w:r>
              <w:rPr>
                <w:rFonts w:hint="eastAsia" w:ascii="仿宋" w:hAnsi="仿宋" w:eastAsia="仿宋" w:cs="仿宋"/>
                <w:b w:val="0"/>
                <w:bCs w:val="0"/>
                <w:color w:val="auto"/>
                <w:sz w:val="24"/>
                <w:szCs w:val="24"/>
                <w:highlight w:val="none"/>
              </w:rPr>
              <w:t>提供有效证书及社保部门出具的在投标人处购买的</w:t>
            </w:r>
            <w:r>
              <w:rPr>
                <w:rFonts w:hint="eastAsia" w:ascii="仿宋" w:hAnsi="仿宋" w:eastAsia="仿宋" w:cs="仿宋"/>
                <w:b w:val="0"/>
                <w:color w:val="auto"/>
                <w:sz w:val="24"/>
                <w:highlight w:val="none"/>
              </w:rPr>
              <w:t>近三个月</w:t>
            </w:r>
            <w:r>
              <w:rPr>
                <w:rFonts w:hint="eastAsia" w:ascii="仿宋" w:hAnsi="仿宋" w:eastAsia="仿宋" w:cs="仿宋"/>
                <w:b w:val="0"/>
                <w:bCs w:val="0"/>
                <w:color w:val="auto"/>
                <w:sz w:val="24"/>
                <w:szCs w:val="24"/>
                <w:highlight w:val="none"/>
              </w:rPr>
              <w:t>的社保证明复印件加盖投标人公章，原件备查，未提供或无法判断不得分。</w:t>
            </w:r>
          </w:p>
          <w:p w14:paraId="4C30C046">
            <w:pPr>
              <w:widowControl/>
              <w:adjustRightInd/>
              <w:snapToGrid/>
              <w:spacing w:line="300" w:lineRule="exact"/>
              <w:jc w:val="left"/>
              <w:rPr>
                <w:rFonts w:hint="eastAsia" w:ascii="仿宋" w:hAnsi="仿宋" w:eastAsia="仿宋" w:cs="仿宋"/>
                <w:b/>
                <w:color w:val="auto"/>
                <w:sz w:val="24"/>
                <w:highlight w:val="none"/>
              </w:rPr>
            </w:pPr>
          </w:p>
        </w:tc>
      </w:tr>
      <w:tr w14:paraId="5EA12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continue"/>
            <w:vAlign w:val="center"/>
          </w:tcPr>
          <w:p w14:paraId="5B197EBE">
            <w:pPr>
              <w:rPr>
                <w:rFonts w:ascii="仿宋" w:hAnsi="仿宋" w:eastAsia="仿宋" w:cs="仿宋"/>
                <w:bCs/>
                <w:color w:val="auto"/>
                <w:sz w:val="24"/>
                <w:highlight w:val="none"/>
              </w:rPr>
            </w:pPr>
          </w:p>
        </w:tc>
        <w:tc>
          <w:tcPr>
            <w:tcW w:w="716" w:type="dxa"/>
            <w:vAlign w:val="center"/>
          </w:tcPr>
          <w:p w14:paraId="2DFBC73D">
            <w:pPr>
              <w:jc w:val="center"/>
              <w:rPr>
                <w:rFonts w:hint="eastAsia" w:ascii="仿宋" w:hAnsi="仿宋" w:eastAsia="仿宋" w:cs="仿宋"/>
                <w:b/>
                <w:color w:val="auto"/>
                <w:sz w:val="24"/>
                <w:highlight w:val="none"/>
              </w:rPr>
            </w:pPr>
            <w:r>
              <w:rPr>
                <w:rFonts w:hint="eastAsia" w:ascii="仿宋" w:hAnsi="仿宋" w:eastAsia="仿宋" w:cs="仿宋"/>
                <w:color w:val="auto"/>
                <w:sz w:val="24"/>
                <w:highlight w:val="none"/>
              </w:rPr>
              <w:t>2</w:t>
            </w:r>
          </w:p>
        </w:tc>
        <w:tc>
          <w:tcPr>
            <w:tcW w:w="1275" w:type="dxa"/>
            <w:vAlign w:val="center"/>
          </w:tcPr>
          <w:p w14:paraId="6654B310">
            <w:pPr>
              <w:spacing w:line="240" w:lineRule="auto"/>
              <w:jc w:val="center"/>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lang w:val="fr-CH"/>
              </w:rPr>
              <w:t>基地或仓库</w:t>
            </w:r>
          </w:p>
        </w:tc>
        <w:tc>
          <w:tcPr>
            <w:tcW w:w="851" w:type="dxa"/>
            <w:vAlign w:val="center"/>
          </w:tcPr>
          <w:p w14:paraId="659E5436">
            <w:pPr>
              <w:jc w:val="center"/>
              <w:rPr>
                <w:rFonts w:hint="eastAsia" w:ascii="仿宋" w:hAnsi="仿宋" w:eastAsia="仿宋" w:cs="仿宋"/>
                <w:b/>
                <w:color w:val="auto"/>
                <w:sz w:val="24"/>
                <w:highlight w:val="none"/>
              </w:rPr>
            </w:pPr>
            <w:r>
              <w:rPr>
                <w:rFonts w:hint="eastAsia" w:ascii="仿宋" w:hAnsi="仿宋" w:eastAsia="仿宋" w:cs="仿宋"/>
                <w:color w:val="auto"/>
                <w:sz w:val="24"/>
                <w:highlight w:val="none"/>
                <w:lang w:val="en-US" w:eastAsia="zh-CN"/>
              </w:rPr>
              <w:t>5</w:t>
            </w:r>
          </w:p>
        </w:tc>
        <w:tc>
          <w:tcPr>
            <w:tcW w:w="4477" w:type="dxa"/>
            <w:vAlign w:val="center"/>
          </w:tcPr>
          <w:p w14:paraId="4A9EAFF4">
            <w:pPr>
              <w:adjustRightInd/>
              <w:snapToGrid/>
              <w:jc w:val="left"/>
              <w:rPr>
                <w:rFonts w:hint="eastAsia" w:ascii="仿宋" w:hAnsi="仿宋" w:eastAsia="仿宋" w:cs="仿宋"/>
                <w:bCs w:val="0"/>
                <w:color w:val="auto"/>
                <w:sz w:val="24"/>
                <w:szCs w:val="24"/>
                <w:highlight w:val="none"/>
              </w:rPr>
            </w:pPr>
            <w:r>
              <w:rPr>
                <w:rFonts w:hint="eastAsia" w:ascii="仿宋" w:hAnsi="仿宋" w:eastAsia="仿宋" w:cs="仿宋"/>
                <w:color w:val="auto"/>
                <w:sz w:val="24"/>
                <w:szCs w:val="24"/>
                <w:highlight w:val="none"/>
              </w:rPr>
              <w:t>（一）评分内容：</w:t>
            </w:r>
          </w:p>
          <w:p w14:paraId="74A248CB">
            <w:pPr>
              <w:widowControl/>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在深圳设立基地或仓库：</w:t>
            </w:r>
          </w:p>
          <w:p w14:paraId="5CD4B1C3">
            <w:pPr>
              <w:widowControl/>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1.投标人提供房产证明或租赁合同证明面积大于等于3000平方米的，得5分；</w:t>
            </w:r>
          </w:p>
          <w:p w14:paraId="44E1770B">
            <w:pPr>
              <w:widowControl/>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2.投标人提供房产证明或租赁合同证明面积大于等于1000平方米，小于3000平方米的，得3分；</w:t>
            </w:r>
          </w:p>
          <w:p w14:paraId="690A2359">
            <w:pPr>
              <w:widowControl/>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3.投标人提供房产证明或租赁合同证明面积小于1000平方米的不得分。</w:t>
            </w:r>
          </w:p>
          <w:p w14:paraId="7F411A26">
            <w:pPr>
              <w:jc w:val="left"/>
              <w:rPr>
                <w:rFonts w:hint="eastAsia"/>
                <w:color w:val="auto"/>
                <w:highlight w:val="none"/>
              </w:rPr>
            </w:pPr>
            <w:r>
              <w:rPr>
                <w:rFonts w:hint="eastAsia" w:ascii="仿宋" w:hAnsi="仿宋" w:eastAsia="仿宋" w:cs="仿宋"/>
                <w:color w:val="auto"/>
                <w:sz w:val="24"/>
                <w:szCs w:val="24"/>
                <w:highlight w:val="none"/>
              </w:rPr>
              <w:t>（二）评分依据：</w:t>
            </w:r>
            <w:r>
              <w:rPr>
                <w:rFonts w:hint="eastAsia" w:ascii="仿宋" w:hAnsi="仿宋" w:eastAsia="仿宋" w:cs="仿宋"/>
                <w:b w:val="0"/>
                <w:bCs w:val="0"/>
                <w:color w:val="auto"/>
                <w:sz w:val="24"/>
                <w:szCs w:val="24"/>
                <w:highlight w:val="none"/>
              </w:rPr>
              <w:t xml:space="preserve"> </w:t>
            </w:r>
          </w:p>
          <w:p w14:paraId="04F0A973">
            <w:pPr>
              <w:widowControl/>
              <w:spacing w:line="240" w:lineRule="auto"/>
              <w:jc w:val="left"/>
              <w:rPr>
                <w:rFonts w:hint="eastAsia" w:ascii="仿宋" w:hAnsi="仿宋" w:eastAsia="仿宋" w:cs="仿宋"/>
                <w:bCs w:val="0"/>
                <w:color w:val="auto"/>
                <w:sz w:val="24"/>
                <w:szCs w:val="24"/>
                <w:highlight w:val="none"/>
              </w:rPr>
            </w:pPr>
            <w:r>
              <w:rPr>
                <w:rFonts w:hint="eastAsia" w:ascii="仿宋" w:hAnsi="仿宋" w:eastAsia="仿宋" w:cs="仿宋"/>
                <w:b w:val="0"/>
                <w:bCs w:val="0"/>
                <w:color w:val="auto"/>
                <w:kern w:val="2"/>
                <w:sz w:val="24"/>
                <w:szCs w:val="24"/>
                <w:highlight w:val="none"/>
              </w:rPr>
              <w:t>证明材料：</w:t>
            </w:r>
            <w:r>
              <w:rPr>
                <w:rFonts w:hint="eastAsia" w:ascii="仿宋" w:hAnsi="仿宋" w:eastAsia="仿宋" w:cs="仿宋"/>
                <w:b w:val="0"/>
                <w:color w:val="auto"/>
                <w:sz w:val="24"/>
                <w:szCs w:val="24"/>
                <w:highlight w:val="none"/>
              </w:rPr>
              <w:t>提供自有产权证明（或租赁合同）复印件及基地照片加盖投标人公章，原件备查,未提供或无法判断不得分,</w:t>
            </w:r>
          </w:p>
          <w:p w14:paraId="03669815">
            <w:pPr>
              <w:widowControl/>
              <w:adjustRightInd/>
              <w:snapToGrid/>
              <w:jc w:val="left"/>
              <w:rPr>
                <w:rFonts w:hint="eastAsia" w:ascii="仿宋" w:hAnsi="仿宋" w:eastAsia="仿宋" w:cs="仿宋"/>
                <w:b/>
                <w:color w:val="auto"/>
                <w:sz w:val="24"/>
                <w:highlight w:val="none"/>
              </w:rPr>
            </w:pPr>
            <w:r>
              <w:rPr>
                <w:rFonts w:hint="eastAsia" w:ascii="仿宋" w:hAnsi="仿宋" w:eastAsia="仿宋" w:cs="仿宋"/>
                <w:bCs w:val="0"/>
                <w:color w:val="auto"/>
                <w:sz w:val="24"/>
                <w:szCs w:val="24"/>
                <w:highlight w:val="none"/>
              </w:rPr>
              <w:t>注：如为租赁场地还需要提供投</w:t>
            </w:r>
            <w:r>
              <w:rPr>
                <w:rFonts w:hint="eastAsia" w:ascii="仿宋" w:hAnsi="仿宋" w:eastAsia="仿宋" w:cs="仿宋"/>
                <w:bCs w:val="0"/>
                <w:color w:val="auto"/>
                <w:sz w:val="24"/>
                <w:szCs w:val="24"/>
                <w:highlight w:val="none"/>
                <w:lang w:val="en-US" w:eastAsia="zh-CN"/>
              </w:rPr>
              <w:t>标</w:t>
            </w:r>
            <w:r>
              <w:rPr>
                <w:rFonts w:hint="eastAsia" w:ascii="仿宋" w:hAnsi="仿宋" w:eastAsia="仿宋" w:cs="仿宋"/>
                <w:bCs w:val="0"/>
                <w:color w:val="auto"/>
                <w:sz w:val="24"/>
                <w:szCs w:val="24"/>
                <w:highlight w:val="none"/>
              </w:rPr>
              <w:t>截止日前三个月租金缴交记录复印件加盖投标人公章，原件备查,未提供或无法判断不得分。</w:t>
            </w:r>
          </w:p>
        </w:tc>
      </w:tr>
      <w:tr w14:paraId="654D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continue"/>
            <w:vAlign w:val="center"/>
          </w:tcPr>
          <w:p w14:paraId="000172B1">
            <w:pPr>
              <w:rPr>
                <w:rFonts w:ascii="仿宋" w:hAnsi="仿宋" w:eastAsia="仿宋" w:cs="仿宋"/>
                <w:bCs/>
                <w:color w:val="auto"/>
                <w:sz w:val="24"/>
                <w:highlight w:val="none"/>
              </w:rPr>
            </w:pPr>
          </w:p>
        </w:tc>
        <w:tc>
          <w:tcPr>
            <w:tcW w:w="716" w:type="dxa"/>
            <w:vAlign w:val="center"/>
          </w:tcPr>
          <w:p w14:paraId="0655D943">
            <w:pPr>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1275" w:type="dxa"/>
            <w:vAlign w:val="center"/>
          </w:tcPr>
          <w:p w14:paraId="757557D1">
            <w:pPr>
              <w:adjustRightInd/>
              <w:snapToGrid/>
              <w:jc w:val="center"/>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投标人业绩</w:t>
            </w:r>
          </w:p>
        </w:tc>
        <w:tc>
          <w:tcPr>
            <w:tcW w:w="851" w:type="dxa"/>
            <w:vAlign w:val="center"/>
          </w:tcPr>
          <w:p w14:paraId="44BEB225">
            <w:pPr>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4477" w:type="dxa"/>
            <w:vAlign w:val="center"/>
          </w:tcPr>
          <w:p w14:paraId="491E0F60">
            <w:pPr>
              <w:adjustRightInd/>
              <w:snapToGrid/>
              <w:jc w:val="left"/>
              <w:rPr>
                <w:rFonts w:hint="eastAsia" w:ascii="仿宋" w:hAnsi="仿宋" w:eastAsia="仿宋" w:cs="仿宋"/>
                <w:bCs w:val="0"/>
                <w:color w:val="auto"/>
                <w:sz w:val="24"/>
                <w:szCs w:val="24"/>
                <w:highlight w:val="none"/>
              </w:rPr>
            </w:pPr>
            <w:r>
              <w:rPr>
                <w:rFonts w:hint="eastAsia" w:ascii="仿宋" w:hAnsi="仿宋" w:eastAsia="仿宋" w:cs="仿宋"/>
                <w:color w:val="auto"/>
                <w:sz w:val="24"/>
                <w:szCs w:val="24"/>
                <w:highlight w:val="none"/>
              </w:rPr>
              <w:t>（一）评分内容：</w:t>
            </w:r>
          </w:p>
          <w:p w14:paraId="2AABF4E3">
            <w:pPr>
              <w:widowControl/>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2022</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月至本项目投标截止日止（以合同签订时间为准）有</w:t>
            </w:r>
            <w:r>
              <w:rPr>
                <w:rFonts w:hint="eastAsia" w:ascii="仿宋" w:hAnsi="仿宋" w:eastAsia="仿宋" w:cs="仿宋"/>
                <w:b w:val="0"/>
                <w:color w:val="auto"/>
                <w:sz w:val="24"/>
                <w:szCs w:val="24"/>
                <w:highlight w:val="none"/>
              </w:rPr>
              <w:t>市政工程交安设施类项目业绩（即道路标线、标识标牌、护栏等设施类施工）</w:t>
            </w:r>
            <w:r>
              <w:rPr>
                <w:rFonts w:hint="eastAsia" w:ascii="仿宋" w:hAnsi="仿宋" w:eastAsia="仿宋" w:cs="仿宋"/>
                <w:color w:val="auto"/>
                <w:sz w:val="24"/>
                <w:szCs w:val="24"/>
                <w:highlight w:val="none"/>
              </w:rPr>
              <w:t>的按下述评分：</w:t>
            </w:r>
          </w:p>
          <w:p w14:paraId="56DE521A">
            <w:pPr>
              <w:widowControl/>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1.合同金额累计大于或等于人民币1500万元得10分；</w:t>
            </w:r>
          </w:p>
          <w:p w14:paraId="339EF952">
            <w:pPr>
              <w:widowControl/>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2.合同金额累计大于或等于人民币1000万元，小于人民币1500万元，得8分；</w:t>
            </w:r>
          </w:p>
          <w:p w14:paraId="6FF3E5E5">
            <w:pPr>
              <w:widowControl/>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3.合同金额累计大于或等于人民币500万元，小于人民币1000万元，得6分；</w:t>
            </w:r>
          </w:p>
          <w:p w14:paraId="59FDEEEC">
            <w:pPr>
              <w:pStyle w:val="43"/>
              <w:ind w:left="0" w:leftChars="0" w:firstLine="0" w:firstLineChars="0"/>
              <w:rPr>
                <w:rFonts w:hint="eastAsia" w:ascii="仿宋" w:hAnsi="仿宋" w:eastAsia="仿宋" w:cs="仿宋"/>
                <w:bCs w:val="0"/>
                <w:color w:val="auto"/>
                <w:sz w:val="24"/>
                <w:szCs w:val="24"/>
                <w:highlight w:val="none"/>
                <w:lang w:val="en-US" w:eastAsia="zh-CN"/>
              </w:rPr>
            </w:pPr>
            <w:r>
              <w:rPr>
                <w:rFonts w:hint="eastAsia" w:ascii="仿宋" w:hAnsi="仿宋" w:eastAsia="仿宋" w:cs="仿宋"/>
                <w:color w:val="auto"/>
                <w:sz w:val="24"/>
                <w:szCs w:val="24"/>
                <w:highlight w:val="none"/>
              </w:rPr>
              <w:t>4.其他不得分。</w:t>
            </w:r>
          </w:p>
          <w:p w14:paraId="71E149AC">
            <w:pPr>
              <w:ind w:left="0" w:leftChars="0" w:firstLine="0" w:firstLineChars="0"/>
              <w:jc w:val="left"/>
              <w:rPr>
                <w:rFonts w:hint="eastAsia" w:ascii="仿宋" w:hAnsi="仿宋" w:eastAsia="仿宋" w:cs="仿宋"/>
                <w:bCs w:val="0"/>
                <w:color w:val="auto"/>
                <w:sz w:val="24"/>
                <w:szCs w:val="24"/>
                <w:highlight w:val="none"/>
                <w:lang w:val="en-US" w:eastAsia="zh-CN"/>
              </w:rPr>
            </w:pPr>
            <w:r>
              <w:rPr>
                <w:rFonts w:hint="eastAsia" w:ascii="仿宋" w:hAnsi="仿宋" w:eastAsia="仿宋" w:cs="仿宋"/>
                <w:color w:val="auto"/>
                <w:sz w:val="24"/>
                <w:szCs w:val="24"/>
                <w:highlight w:val="none"/>
              </w:rPr>
              <w:t>（二）评分依据：</w:t>
            </w:r>
            <w:r>
              <w:rPr>
                <w:rFonts w:hint="eastAsia" w:ascii="仿宋" w:hAnsi="仿宋" w:eastAsia="仿宋" w:cs="仿宋"/>
                <w:b w:val="0"/>
                <w:bCs w:val="0"/>
                <w:color w:val="auto"/>
                <w:sz w:val="24"/>
                <w:szCs w:val="24"/>
                <w:highlight w:val="none"/>
              </w:rPr>
              <w:t xml:space="preserve"> </w:t>
            </w:r>
          </w:p>
          <w:p w14:paraId="011379B2">
            <w:pPr>
              <w:widowControl/>
              <w:spacing w:line="300" w:lineRule="exact"/>
              <w:jc w:val="left"/>
              <w:rPr>
                <w:rFonts w:hint="eastAsia" w:ascii="仿宋" w:hAnsi="仿宋" w:eastAsia="仿宋" w:cs="仿宋"/>
                <w:color w:val="auto"/>
                <w:sz w:val="24"/>
                <w:szCs w:val="24"/>
                <w:highlight w:val="none"/>
              </w:rPr>
            </w:pPr>
            <w:r>
              <w:rPr>
                <w:rFonts w:hint="eastAsia" w:ascii="仿宋" w:hAnsi="仿宋" w:eastAsia="仿宋" w:cs="仿宋"/>
                <w:bCs w:val="0"/>
                <w:color w:val="auto"/>
                <w:sz w:val="24"/>
                <w:szCs w:val="24"/>
                <w:highlight w:val="none"/>
              </w:rPr>
              <w:t>证明材料：</w:t>
            </w:r>
            <w:r>
              <w:rPr>
                <w:rFonts w:hint="eastAsia" w:ascii="仿宋" w:hAnsi="仿宋" w:eastAsia="仿宋" w:cs="仿宋"/>
                <w:b w:val="0"/>
                <w:bCs w:val="0"/>
                <w:color w:val="auto"/>
                <w:kern w:val="2"/>
                <w:sz w:val="24"/>
                <w:szCs w:val="24"/>
                <w:highlight w:val="none"/>
              </w:rPr>
              <w:t>提供合同复印件加盖投标人公章，原件备查，未提供或无法判断不得分。</w:t>
            </w:r>
          </w:p>
          <w:p w14:paraId="2AEBF7F8">
            <w:pPr>
              <w:widowControl/>
              <w:spacing w:line="300" w:lineRule="exact"/>
              <w:jc w:val="left"/>
              <w:rPr>
                <w:rFonts w:hint="eastAsia" w:ascii="仿宋" w:hAnsi="仿宋" w:eastAsia="仿宋" w:cs="仿宋"/>
                <w:color w:val="auto"/>
                <w:sz w:val="24"/>
                <w:szCs w:val="24"/>
                <w:highlight w:val="none"/>
              </w:rPr>
            </w:pPr>
            <w:r>
              <w:rPr>
                <w:rFonts w:hint="eastAsia" w:ascii="仿宋" w:hAnsi="仿宋" w:eastAsia="仿宋" w:cs="仿宋"/>
                <w:b w:val="0"/>
                <w:bCs w:val="0"/>
                <w:color w:val="auto"/>
                <w:kern w:val="2"/>
                <w:sz w:val="24"/>
                <w:szCs w:val="24"/>
                <w:highlight w:val="none"/>
              </w:rPr>
              <w:t>注：</w:t>
            </w:r>
          </w:p>
          <w:p w14:paraId="62C08E64">
            <w:pPr>
              <w:widowControl/>
              <w:spacing w:line="300" w:lineRule="exact"/>
              <w:jc w:val="left"/>
              <w:rPr>
                <w:rFonts w:hint="eastAsia" w:ascii="仿宋" w:hAnsi="仿宋" w:eastAsia="仿宋" w:cs="仿宋"/>
                <w:color w:val="auto"/>
                <w:sz w:val="24"/>
                <w:szCs w:val="24"/>
                <w:highlight w:val="none"/>
              </w:rPr>
            </w:pPr>
            <w:r>
              <w:rPr>
                <w:rFonts w:hint="eastAsia" w:ascii="仿宋" w:hAnsi="仿宋" w:eastAsia="仿宋" w:cs="仿宋"/>
                <w:b w:val="0"/>
                <w:bCs w:val="0"/>
                <w:color w:val="auto"/>
                <w:kern w:val="2"/>
                <w:sz w:val="24"/>
                <w:szCs w:val="24"/>
                <w:highlight w:val="none"/>
              </w:rPr>
              <w:t>1.累计合同不超过</w:t>
            </w:r>
            <w:r>
              <w:rPr>
                <w:rFonts w:hint="eastAsia" w:ascii="仿宋" w:hAnsi="仿宋" w:eastAsia="仿宋" w:cs="仿宋"/>
                <w:b w:val="0"/>
                <w:bCs w:val="0"/>
                <w:color w:val="auto"/>
                <w:kern w:val="2"/>
                <w:sz w:val="24"/>
                <w:szCs w:val="24"/>
                <w:highlight w:val="none"/>
                <w:lang w:val="en-US" w:eastAsia="zh-CN"/>
              </w:rPr>
              <w:t>5</w:t>
            </w:r>
            <w:r>
              <w:rPr>
                <w:rFonts w:hint="eastAsia" w:ascii="仿宋" w:hAnsi="仿宋" w:eastAsia="仿宋" w:cs="仿宋"/>
                <w:b w:val="0"/>
                <w:bCs w:val="0"/>
                <w:color w:val="auto"/>
                <w:kern w:val="2"/>
                <w:sz w:val="24"/>
                <w:szCs w:val="24"/>
                <w:highlight w:val="none"/>
              </w:rPr>
              <w:t>个（含）；</w:t>
            </w:r>
          </w:p>
          <w:p w14:paraId="3C682830">
            <w:pPr>
              <w:widowControl/>
              <w:spacing w:line="300" w:lineRule="exact"/>
              <w:jc w:val="left"/>
              <w:rPr>
                <w:rFonts w:hint="eastAsia" w:ascii="仿宋" w:hAnsi="仿宋" w:eastAsia="仿宋" w:cs="仿宋"/>
                <w:color w:val="auto"/>
                <w:sz w:val="24"/>
                <w:szCs w:val="24"/>
                <w:highlight w:val="none"/>
              </w:rPr>
            </w:pPr>
            <w:r>
              <w:rPr>
                <w:rFonts w:hint="eastAsia" w:ascii="仿宋" w:hAnsi="仿宋" w:eastAsia="仿宋" w:cs="仿宋"/>
                <w:b w:val="0"/>
                <w:bCs w:val="0"/>
                <w:color w:val="auto"/>
                <w:kern w:val="2"/>
                <w:sz w:val="24"/>
                <w:szCs w:val="24"/>
                <w:highlight w:val="none"/>
              </w:rPr>
              <w:t>2.如合同不能体现金额和时间的，则需提供合同甲方</w:t>
            </w:r>
          </w:p>
          <w:p w14:paraId="0F6ED3BA">
            <w:pPr>
              <w:widowControl/>
              <w:spacing w:line="300" w:lineRule="exact"/>
              <w:jc w:val="left"/>
              <w:rPr>
                <w:rFonts w:hint="eastAsia" w:ascii="仿宋" w:hAnsi="仿宋" w:eastAsia="仿宋" w:cs="仿宋"/>
                <w:color w:val="auto"/>
                <w:sz w:val="24"/>
                <w:szCs w:val="24"/>
                <w:highlight w:val="none"/>
              </w:rPr>
            </w:pPr>
            <w:r>
              <w:rPr>
                <w:rFonts w:hint="eastAsia" w:ascii="仿宋" w:hAnsi="仿宋" w:eastAsia="仿宋" w:cs="仿宋"/>
                <w:b w:val="0"/>
                <w:bCs w:val="0"/>
                <w:color w:val="auto"/>
                <w:kern w:val="2"/>
                <w:sz w:val="24"/>
                <w:szCs w:val="24"/>
                <w:highlight w:val="none"/>
              </w:rPr>
              <w:t>出具的证明材料。</w:t>
            </w:r>
          </w:p>
          <w:p w14:paraId="6D5D8A7D">
            <w:pPr>
              <w:adjustRightInd/>
              <w:snapToGrid/>
              <w:jc w:val="left"/>
              <w:rPr>
                <w:rFonts w:hint="eastAsia" w:ascii="仿宋" w:hAnsi="仿宋" w:eastAsia="仿宋" w:cs="仿宋"/>
                <w:color w:val="auto"/>
                <w:sz w:val="24"/>
                <w:highlight w:val="none"/>
              </w:rPr>
            </w:pPr>
            <w:r>
              <w:rPr>
                <w:rFonts w:hint="eastAsia" w:ascii="仿宋" w:hAnsi="仿宋" w:eastAsia="仿宋" w:cs="仿宋"/>
                <w:b w:val="0"/>
                <w:bCs w:val="0"/>
                <w:color w:val="auto"/>
                <w:kern w:val="2"/>
                <w:sz w:val="24"/>
                <w:szCs w:val="24"/>
                <w:highlight w:val="none"/>
              </w:rPr>
              <w:t>3.每份合同提供至少1张不多于3张发票。</w:t>
            </w:r>
          </w:p>
        </w:tc>
      </w:tr>
      <w:tr w14:paraId="04442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continue"/>
            <w:vAlign w:val="center"/>
          </w:tcPr>
          <w:p w14:paraId="292ABB09">
            <w:pPr>
              <w:rPr>
                <w:rFonts w:ascii="仿宋" w:hAnsi="仿宋" w:eastAsia="仿宋" w:cs="仿宋"/>
                <w:bCs/>
                <w:color w:val="auto"/>
                <w:sz w:val="24"/>
                <w:highlight w:val="none"/>
              </w:rPr>
            </w:pPr>
          </w:p>
        </w:tc>
        <w:tc>
          <w:tcPr>
            <w:tcW w:w="716" w:type="dxa"/>
            <w:vAlign w:val="center"/>
          </w:tcPr>
          <w:p w14:paraId="5E97C664">
            <w:pPr>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1275" w:type="dxa"/>
            <w:vAlign w:val="center"/>
          </w:tcPr>
          <w:p w14:paraId="5220E51F">
            <w:pPr>
              <w:adjustRightInd/>
              <w:snapToGrid/>
              <w:jc w:val="center"/>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履约评价</w:t>
            </w:r>
          </w:p>
        </w:tc>
        <w:tc>
          <w:tcPr>
            <w:tcW w:w="851" w:type="dxa"/>
            <w:vAlign w:val="center"/>
          </w:tcPr>
          <w:p w14:paraId="7490BD50">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4477" w:type="dxa"/>
            <w:vAlign w:val="top"/>
          </w:tcPr>
          <w:p w14:paraId="3216C5A3">
            <w:pPr>
              <w:adjustRightInd/>
              <w:snapToGrid/>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（一）评分内容：</w:t>
            </w:r>
          </w:p>
          <w:p w14:paraId="4D8A806B">
            <w:pPr>
              <w:widowControl/>
              <w:spacing w:line="300" w:lineRule="exact"/>
              <w:jc w:val="left"/>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rPr>
              <w:t>履约评价必须对应本评分标准中投标人业绩处提供的合同，每提供1个已完成的同类项目履约评价情况为良好（同等）或以上评价的得</w:t>
            </w:r>
            <w:r>
              <w:rPr>
                <w:rFonts w:hint="eastAsia" w:ascii="仿宋" w:hAnsi="仿宋" w:eastAsia="仿宋" w:cs="仿宋"/>
                <w:color w:val="auto"/>
                <w:kern w:val="2"/>
                <w:sz w:val="24"/>
                <w:szCs w:val="24"/>
                <w:highlight w:val="none"/>
                <w:lang w:val="en-US" w:eastAsia="zh-CN"/>
              </w:rPr>
              <w:t>2</w:t>
            </w:r>
            <w:r>
              <w:rPr>
                <w:rFonts w:hint="eastAsia" w:ascii="仿宋" w:hAnsi="仿宋" w:eastAsia="仿宋" w:cs="仿宋"/>
                <w:color w:val="auto"/>
                <w:kern w:val="2"/>
                <w:sz w:val="24"/>
                <w:szCs w:val="24"/>
                <w:highlight w:val="none"/>
              </w:rPr>
              <w:t>分；最高不超过</w:t>
            </w:r>
            <w:r>
              <w:rPr>
                <w:rFonts w:hint="eastAsia" w:ascii="仿宋" w:hAnsi="仿宋" w:eastAsia="仿宋" w:cs="仿宋"/>
                <w:color w:val="auto"/>
                <w:kern w:val="2"/>
                <w:sz w:val="24"/>
                <w:szCs w:val="24"/>
                <w:highlight w:val="none"/>
                <w:lang w:val="en-US" w:eastAsia="zh-CN"/>
              </w:rPr>
              <w:t>10</w:t>
            </w:r>
            <w:r>
              <w:rPr>
                <w:rFonts w:hint="eastAsia" w:ascii="仿宋" w:hAnsi="仿宋" w:eastAsia="仿宋" w:cs="仿宋"/>
                <w:color w:val="auto"/>
                <w:kern w:val="2"/>
                <w:sz w:val="24"/>
                <w:szCs w:val="24"/>
                <w:highlight w:val="none"/>
              </w:rPr>
              <w:t>分。</w:t>
            </w:r>
          </w:p>
          <w:p w14:paraId="6AB7B737">
            <w:pPr>
              <w:ind w:left="0" w:leftChars="0" w:firstLine="0" w:firstLineChars="0"/>
              <w:jc w:val="left"/>
              <w:rPr>
                <w:rFonts w:hint="eastAsia" w:ascii="仿宋" w:hAnsi="仿宋" w:eastAsia="仿宋" w:cs="仿宋"/>
                <w:bCs w:val="0"/>
                <w:color w:val="auto"/>
                <w:sz w:val="24"/>
                <w:szCs w:val="24"/>
                <w:highlight w:val="none"/>
                <w:lang w:val="en-US" w:eastAsia="zh-CN"/>
              </w:rPr>
            </w:pPr>
            <w:r>
              <w:rPr>
                <w:rFonts w:hint="eastAsia" w:ascii="仿宋" w:hAnsi="仿宋" w:eastAsia="仿宋" w:cs="仿宋"/>
                <w:color w:val="auto"/>
                <w:sz w:val="24"/>
                <w:szCs w:val="24"/>
                <w:highlight w:val="none"/>
              </w:rPr>
              <w:t>（二）评分依据：</w:t>
            </w:r>
            <w:r>
              <w:rPr>
                <w:rFonts w:hint="eastAsia" w:ascii="仿宋" w:hAnsi="仿宋" w:eastAsia="仿宋" w:cs="仿宋"/>
                <w:b w:val="0"/>
                <w:bCs w:val="0"/>
                <w:color w:val="auto"/>
                <w:sz w:val="24"/>
                <w:szCs w:val="24"/>
                <w:highlight w:val="none"/>
              </w:rPr>
              <w:t xml:space="preserve"> </w:t>
            </w:r>
          </w:p>
          <w:p w14:paraId="6C77D374">
            <w:pPr>
              <w:widowControl/>
              <w:spacing w:line="3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证明材料：</w:t>
            </w:r>
            <w:r>
              <w:rPr>
                <w:rFonts w:hint="eastAsia" w:ascii="仿宋" w:hAnsi="仿宋" w:eastAsia="仿宋" w:cs="仿宋"/>
                <w:b w:val="0"/>
                <w:bCs w:val="0"/>
                <w:color w:val="auto"/>
                <w:kern w:val="2"/>
                <w:sz w:val="24"/>
                <w:szCs w:val="24"/>
                <w:highlight w:val="none"/>
              </w:rPr>
              <w:t>提供合同甲方出具的履约评价证明材料复印件加盖投标人法人公章，原件备查，未提供或无法判断不得分。</w:t>
            </w:r>
          </w:p>
          <w:p w14:paraId="166F324C">
            <w:pPr>
              <w:adjustRightInd/>
              <w:snapToGrid/>
              <w:jc w:val="left"/>
              <w:rPr>
                <w:rFonts w:hint="eastAsia" w:ascii="仿宋" w:hAnsi="仿宋" w:eastAsia="仿宋" w:cs="仿宋"/>
                <w:color w:val="auto"/>
                <w:sz w:val="24"/>
                <w:highlight w:val="none"/>
              </w:rPr>
            </w:pPr>
            <w:r>
              <w:rPr>
                <w:rFonts w:hint="eastAsia" w:ascii="仿宋" w:hAnsi="仿宋" w:eastAsia="仿宋" w:cs="仿宋"/>
                <w:b w:val="0"/>
                <w:bCs w:val="0"/>
                <w:color w:val="auto"/>
                <w:kern w:val="2"/>
                <w:sz w:val="24"/>
                <w:szCs w:val="24"/>
                <w:highlight w:val="none"/>
              </w:rPr>
              <w:t>注：</w:t>
            </w:r>
            <w:r>
              <w:rPr>
                <w:rFonts w:hint="eastAsia" w:ascii="仿宋" w:hAnsi="仿宋" w:eastAsia="仿宋" w:cs="仿宋"/>
                <w:color w:val="auto"/>
                <w:kern w:val="2"/>
                <w:sz w:val="24"/>
                <w:szCs w:val="24"/>
                <w:highlight w:val="none"/>
              </w:rPr>
              <w:t>同一个项目的履约评价只计一次；良好评分≥80分。</w:t>
            </w:r>
          </w:p>
        </w:tc>
      </w:tr>
    </w:tbl>
    <w:p w14:paraId="7E18DAFA">
      <w:pPr>
        <w:rPr>
          <w:rFonts w:ascii="仿宋" w:hAnsi="仿宋" w:eastAsia="仿宋" w:cs="仿宋"/>
          <w:highlight w:val="none"/>
        </w:rPr>
      </w:pPr>
    </w:p>
    <w:p w14:paraId="5C9B4B9C">
      <w:pPr>
        <w:rPr>
          <w:rFonts w:ascii="仿宋" w:hAnsi="仿宋" w:eastAsia="仿宋" w:cs="仿宋"/>
          <w:sz w:val="24"/>
          <w:highlight w:val="none"/>
        </w:rPr>
      </w:pPr>
      <w:r>
        <w:rPr>
          <w:rFonts w:hint="eastAsia" w:ascii="仿宋" w:hAnsi="仿宋" w:eastAsia="仿宋" w:cs="仿宋"/>
          <w:sz w:val="24"/>
          <w:highlight w:val="none"/>
        </w:rPr>
        <w:t>注：</w:t>
      </w:r>
    </w:p>
    <w:p w14:paraId="51ADEDFD">
      <w:pPr>
        <w:ind w:firstLine="480" w:firstLineChars="200"/>
        <w:rPr>
          <w:rFonts w:ascii="仿宋" w:hAnsi="仿宋" w:eastAsia="仿宋" w:cs="仿宋"/>
          <w:sz w:val="24"/>
          <w:highlight w:val="none"/>
        </w:rPr>
      </w:pPr>
      <w:r>
        <w:rPr>
          <w:rFonts w:hint="eastAsia" w:ascii="仿宋" w:hAnsi="仿宋" w:eastAsia="仿宋" w:cs="仿宋"/>
          <w:sz w:val="24"/>
          <w:highlight w:val="none"/>
        </w:rPr>
        <w:t>1. 每一项的得分均不能超过该项最高分值。</w:t>
      </w:r>
    </w:p>
    <w:p w14:paraId="717D4EBE">
      <w:pPr>
        <w:ind w:firstLine="480" w:firstLineChars="200"/>
        <w:rPr>
          <w:rFonts w:ascii="仿宋" w:hAnsi="仿宋" w:eastAsia="仿宋" w:cs="仿宋"/>
          <w:sz w:val="24"/>
          <w:highlight w:val="none"/>
        </w:rPr>
      </w:pPr>
      <w:r>
        <w:rPr>
          <w:rFonts w:hint="eastAsia" w:ascii="仿宋" w:hAnsi="仿宋" w:eastAsia="仿宋" w:cs="仿宋"/>
          <w:sz w:val="24"/>
          <w:highlight w:val="none"/>
        </w:rPr>
        <w:t>2. 缺项则该项为0分或不合格为0分。</w:t>
      </w:r>
    </w:p>
    <w:p w14:paraId="3A5F18C4">
      <w:pPr>
        <w:ind w:firstLine="480" w:firstLineChars="200"/>
        <w:rPr>
          <w:rFonts w:ascii="仿宋" w:hAnsi="仿宋" w:eastAsia="仿宋" w:cs="仿宋"/>
          <w:sz w:val="24"/>
          <w:highlight w:val="none"/>
        </w:rPr>
      </w:pPr>
      <w:r>
        <w:rPr>
          <w:rFonts w:hint="eastAsia" w:ascii="仿宋" w:hAnsi="仿宋" w:eastAsia="仿宋" w:cs="仿宋"/>
          <w:sz w:val="24"/>
          <w:highlight w:val="none"/>
        </w:rPr>
        <w:t>3. 价格部分、技术部分、</w:t>
      </w:r>
      <w:r>
        <w:rPr>
          <w:rFonts w:hint="eastAsia" w:ascii="仿宋" w:hAnsi="仿宋" w:eastAsia="仿宋" w:cs="仿宋"/>
          <w:sz w:val="24"/>
          <w:highlight w:val="none"/>
          <w:lang w:val="en-US" w:eastAsia="zh-CN"/>
        </w:rPr>
        <w:t>综合实力</w:t>
      </w:r>
      <w:r>
        <w:rPr>
          <w:rFonts w:hint="eastAsia" w:ascii="仿宋" w:hAnsi="仿宋" w:eastAsia="仿宋" w:cs="仿宋"/>
          <w:sz w:val="24"/>
          <w:highlight w:val="none"/>
        </w:rPr>
        <w:t>部分为针对项目具体情况设置项目，累加满分为100分。</w:t>
      </w:r>
    </w:p>
    <w:p w14:paraId="6206D679">
      <w:pPr>
        <w:ind w:firstLine="480" w:firstLineChars="200"/>
        <w:rPr>
          <w:rFonts w:hint="eastAsia" w:ascii="仿宋" w:hAnsi="仿宋" w:eastAsia="仿宋" w:cs="仿宋"/>
          <w:snapToGrid w:val="0"/>
          <w:kern w:val="0"/>
          <w:sz w:val="24"/>
          <w:highlight w:val="none"/>
          <w:lang w:eastAsia="zh-CN"/>
        </w:rPr>
      </w:pPr>
      <w:r>
        <w:rPr>
          <w:rFonts w:hint="eastAsia" w:ascii="仿宋" w:hAnsi="仿宋" w:eastAsia="仿宋" w:cs="仿宋"/>
          <w:sz w:val="24"/>
          <w:highlight w:val="none"/>
        </w:rPr>
        <w:t>4. 综合以上</w:t>
      </w:r>
      <w:r>
        <w:rPr>
          <w:rFonts w:hint="eastAsia" w:ascii="仿宋" w:hAnsi="仿宋" w:eastAsia="仿宋" w:cs="仿宋"/>
          <w:snapToGrid w:val="0"/>
          <w:kern w:val="0"/>
          <w:sz w:val="24"/>
          <w:highlight w:val="none"/>
        </w:rPr>
        <w:t>分析比较，评委会将对各投标文件进行书面的量化评定，得分精确到小数点后两位</w:t>
      </w:r>
      <w:r>
        <w:rPr>
          <w:rFonts w:hint="eastAsia" w:ascii="仿宋" w:hAnsi="仿宋" w:eastAsia="仿宋" w:cs="仿宋"/>
          <w:snapToGrid w:val="0"/>
          <w:kern w:val="0"/>
          <w:sz w:val="24"/>
          <w:highlight w:val="none"/>
          <w:lang w:eastAsia="zh-CN"/>
        </w:rPr>
        <w:t>。</w:t>
      </w:r>
    </w:p>
    <w:p w14:paraId="21F40C43">
      <w:pPr>
        <w:ind w:firstLine="480" w:firstLineChars="200"/>
        <w:rPr>
          <w:rFonts w:ascii="宋体" w:hAnsi="宋体"/>
          <w:color w:val="auto"/>
          <w:sz w:val="24"/>
          <w:highlight w:val="none"/>
        </w:rPr>
      </w:pPr>
    </w:p>
    <w:p w14:paraId="247B0CFB">
      <w:pPr>
        <w:rPr>
          <w:rFonts w:ascii="宋体" w:hAnsi="宋体"/>
          <w:color w:val="auto"/>
          <w:highlight w:val="none"/>
        </w:rPr>
        <w:sectPr>
          <w:footerReference r:id="rId4" w:type="first"/>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titlePg/>
          <w:docGrid w:type="lines" w:linePitch="312" w:charSpace="0"/>
        </w:sectPr>
      </w:pPr>
    </w:p>
    <w:p w14:paraId="5CD7A676">
      <w:pPr>
        <w:pStyle w:val="4"/>
        <w:pageBreakBefore/>
        <w:spacing w:line="415" w:lineRule="auto"/>
        <w:jc w:val="center"/>
        <w:rPr>
          <w:b/>
          <w:bCs/>
          <w:color w:val="auto"/>
          <w:highlight w:val="none"/>
        </w:rPr>
      </w:pPr>
      <w:bookmarkStart w:id="410" w:name="_Toc28384"/>
      <w:bookmarkStart w:id="411" w:name="_Toc6748"/>
      <w:bookmarkStart w:id="412" w:name="_Toc18915"/>
      <w:bookmarkStart w:id="413" w:name="_Toc6070"/>
      <w:bookmarkStart w:id="414" w:name="_Toc22650"/>
      <w:bookmarkStart w:id="415" w:name="_Toc32025"/>
      <w:bookmarkStart w:id="416" w:name="_Toc128564768"/>
      <w:bookmarkStart w:id="417" w:name="_Toc7017"/>
      <w:bookmarkStart w:id="418" w:name="_Toc15776"/>
      <w:bookmarkStart w:id="419" w:name="_Toc28690"/>
      <w:bookmarkStart w:id="420" w:name="_Toc27899"/>
      <w:r>
        <w:rPr>
          <w:rFonts w:hint="eastAsia"/>
          <w:b/>
          <w:bCs/>
          <w:color w:val="auto"/>
          <w:highlight w:val="none"/>
        </w:rPr>
        <w:t>第三章  招标项目需求</w:t>
      </w:r>
      <w:bookmarkEnd w:id="410"/>
      <w:bookmarkEnd w:id="411"/>
      <w:bookmarkEnd w:id="412"/>
      <w:bookmarkEnd w:id="413"/>
      <w:bookmarkEnd w:id="414"/>
      <w:bookmarkEnd w:id="415"/>
      <w:bookmarkEnd w:id="416"/>
      <w:bookmarkEnd w:id="417"/>
      <w:bookmarkEnd w:id="418"/>
      <w:bookmarkEnd w:id="419"/>
      <w:bookmarkEnd w:id="420"/>
    </w:p>
    <w:p w14:paraId="5000DC08">
      <w:pPr>
        <w:snapToGrid w:val="0"/>
        <w:spacing w:line="360" w:lineRule="auto"/>
        <w:rPr>
          <w:rFonts w:ascii="黑体" w:hAnsi="宋体" w:eastAsia="黑体" w:cs="宋体"/>
          <w:b/>
          <w:color w:val="auto"/>
          <w:sz w:val="28"/>
          <w:szCs w:val="28"/>
          <w:highlight w:val="none"/>
        </w:rPr>
      </w:pPr>
      <w:r>
        <w:rPr>
          <w:rFonts w:hint="eastAsia" w:ascii="黑体" w:hAnsi="宋体" w:eastAsia="黑体" w:cs="宋体"/>
          <w:b/>
          <w:color w:val="auto"/>
          <w:sz w:val="28"/>
          <w:szCs w:val="28"/>
          <w:highlight w:val="none"/>
        </w:rPr>
        <w:t>重点提示：</w:t>
      </w:r>
    </w:p>
    <w:p w14:paraId="06F97DD7">
      <w:pPr>
        <w:spacing w:line="360" w:lineRule="auto"/>
        <w:ind w:firstLine="472" w:firstLineChars="196"/>
        <w:rPr>
          <w:rFonts w:ascii="仿宋" w:hAnsi="仿宋" w:eastAsia="仿宋" w:cs="仿宋"/>
          <w:b/>
          <w:color w:val="auto"/>
          <w:sz w:val="24"/>
          <w:highlight w:val="none"/>
        </w:rPr>
      </w:pPr>
      <w:r>
        <w:rPr>
          <w:rFonts w:hint="eastAsia" w:ascii="仿宋" w:hAnsi="仿宋" w:eastAsia="仿宋" w:cs="仿宋"/>
          <w:b/>
          <w:color w:val="auto"/>
          <w:sz w:val="24"/>
          <w:highlight w:val="none"/>
        </w:rPr>
        <w:t>1.招标文件澄清、质疑的说明</w:t>
      </w:r>
    </w:p>
    <w:p w14:paraId="03A73AC4">
      <w:pPr>
        <w:spacing w:line="360" w:lineRule="auto"/>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根据招标文件第二册第二章第</w:t>
      </w:r>
      <w:r>
        <w:rPr>
          <w:rFonts w:hint="eastAsia" w:ascii="仿宋" w:hAnsi="仿宋" w:eastAsia="仿宋" w:cs="仿宋"/>
          <w:color w:val="auto"/>
          <w:sz w:val="24"/>
          <w:highlight w:val="none"/>
          <w:lang w:val="en-US" w:eastAsia="zh-CN"/>
        </w:rPr>
        <w:t>15</w:t>
      </w:r>
      <w:r>
        <w:rPr>
          <w:rFonts w:hint="eastAsia" w:ascii="仿宋" w:hAnsi="仿宋" w:eastAsia="仿宋" w:cs="仿宋"/>
          <w:color w:val="auto"/>
          <w:sz w:val="24"/>
          <w:highlight w:val="none"/>
        </w:rPr>
        <w:t>条“招标文件的澄清、质疑”的规定，任何要求对招标文件进行澄清或者对招标文件有限制性、倾向性条款提出质疑的投标人，均应于“招标公告”中所述答疑截止时间前在书面通知</w:t>
      </w:r>
      <w:r>
        <w:rPr>
          <w:rFonts w:hint="eastAsia" w:ascii="仿宋" w:hAnsi="仿宋" w:eastAsia="仿宋" w:cs="仿宋"/>
          <w:color w:val="auto"/>
          <w:sz w:val="24"/>
          <w:highlight w:val="none"/>
          <w:lang w:eastAsia="zh-CN"/>
        </w:rPr>
        <w:t>招标代理</w:t>
      </w:r>
      <w:r>
        <w:rPr>
          <w:rFonts w:hint="eastAsia" w:ascii="仿宋" w:hAnsi="仿宋" w:eastAsia="仿宋" w:cs="仿宋"/>
          <w:color w:val="auto"/>
          <w:sz w:val="24"/>
          <w:highlight w:val="none"/>
        </w:rPr>
        <w:t>机构。对于没有提出澄清或者质疑又参与了该项目投标的</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将被视为完全认同该招标文件，投标截止期后不再受理针对招标文件的相关质疑、投诉。对招标文件中描述有歧义或前后不一致的地方，评审委员会有权进行评标，但对同一条款的评判应适用于每个投标人。</w:t>
      </w:r>
      <w:bookmarkStart w:id="421" w:name="_Toc486922320"/>
      <w:bookmarkStart w:id="422" w:name="_Toc22754"/>
    </w:p>
    <w:bookmarkEnd w:id="421"/>
    <w:bookmarkEnd w:id="422"/>
    <w:p w14:paraId="65A59EE4">
      <w:pPr>
        <w:spacing w:line="360" w:lineRule="auto"/>
        <w:ind w:firstLine="472" w:firstLineChars="196"/>
        <w:rPr>
          <w:rFonts w:ascii="仿宋" w:hAnsi="仿宋" w:eastAsia="仿宋" w:cs="仿宋"/>
          <w:b/>
          <w:color w:val="auto"/>
          <w:sz w:val="24"/>
          <w:highlight w:val="none"/>
        </w:rPr>
      </w:pPr>
      <w:r>
        <w:rPr>
          <w:rFonts w:hint="eastAsia" w:ascii="仿宋" w:hAnsi="仿宋" w:eastAsia="仿宋" w:cs="仿宋"/>
          <w:b/>
          <w:color w:val="auto"/>
          <w:sz w:val="24"/>
          <w:highlight w:val="none"/>
        </w:rPr>
        <w:t>2.关于特殊符号的说明</w:t>
      </w:r>
    </w:p>
    <w:p w14:paraId="353C3ED9">
      <w:pPr>
        <w:spacing w:line="360" w:lineRule="auto"/>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2.1招标文件中标注“★”的条款均为不可偏离的实质性条款，投标文件对其中任意一条不满足的将作投标无效处理。</w:t>
      </w:r>
    </w:p>
    <w:p w14:paraId="02E65433">
      <w:pPr>
        <w:spacing w:line="360" w:lineRule="auto"/>
        <w:ind w:firstLine="470" w:firstLineChars="196"/>
        <w:rPr>
          <w:rFonts w:ascii="仿宋" w:hAnsi="仿宋" w:eastAsia="仿宋" w:cs="仿宋"/>
          <w:b/>
          <w:color w:val="auto"/>
          <w:sz w:val="24"/>
          <w:highlight w:val="none"/>
        </w:rPr>
      </w:pPr>
      <w:r>
        <w:rPr>
          <w:rFonts w:hint="eastAsia" w:ascii="仿宋" w:hAnsi="仿宋" w:eastAsia="仿宋" w:cs="仿宋"/>
          <w:color w:val="auto"/>
          <w:sz w:val="24"/>
          <w:highlight w:val="none"/>
        </w:rPr>
        <w:t>2.2招标文件中标注“▲”的条款均为重要条款，仅作为综合评分时的重要依据</w:t>
      </w:r>
      <w:r>
        <w:rPr>
          <w:rFonts w:hint="eastAsia" w:ascii="仿宋" w:hAnsi="仿宋" w:eastAsia="仿宋" w:cs="仿宋"/>
          <w:b/>
          <w:color w:val="auto"/>
          <w:sz w:val="24"/>
          <w:highlight w:val="none"/>
        </w:rPr>
        <w:t>。</w:t>
      </w:r>
    </w:p>
    <w:p w14:paraId="556204C3">
      <w:pPr>
        <w:spacing w:line="360" w:lineRule="auto"/>
        <w:ind w:firstLine="472" w:firstLineChars="196"/>
        <w:rPr>
          <w:rFonts w:ascii="仿宋" w:hAnsi="仿宋" w:eastAsia="仿宋" w:cs="仿宋"/>
          <w:b/>
          <w:color w:val="auto"/>
          <w:sz w:val="24"/>
          <w:highlight w:val="none"/>
        </w:rPr>
      </w:pPr>
      <w:r>
        <w:rPr>
          <w:rFonts w:hint="eastAsia" w:ascii="仿宋" w:hAnsi="仿宋" w:eastAsia="仿宋" w:cs="仿宋"/>
          <w:b/>
          <w:color w:val="auto"/>
          <w:sz w:val="24"/>
          <w:highlight w:val="none"/>
        </w:rPr>
        <w:t>3.关于招标公告“投标人资格要求第</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项”的释义</w:t>
      </w:r>
    </w:p>
    <w:p w14:paraId="3AAE3C01">
      <w:pPr>
        <w:spacing w:line="360" w:lineRule="auto"/>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3.1单位负责人，是指单位法定代表人或者法律、行政法规规定代表单位行使职权的主要负责人。控股关系，是指单位或个人股东的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管理关系，是指不具有出资持股关系的其他单位之间存在的管理与被管理关系，如一些上下级关系的事业单位和团体组织。上述规定的控股、管理关系仅限于直接控股、直接管理关系，不包括间接的控股或管理关系。</w:t>
      </w:r>
    </w:p>
    <w:p w14:paraId="051FC607">
      <w:pPr>
        <w:spacing w:line="360" w:lineRule="auto"/>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3.2在项目开评标过程中，</w:t>
      </w:r>
      <w:r>
        <w:rPr>
          <w:rFonts w:hint="eastAsia" w:ascii="仿宋" w:hAnsi="仿宋" w:eastAsia="仿宋" w:cs="仿宋"/>
          <w:color w:val="auto"/>
          <w:sz w:val="24"/>
          <w:highlight w:val="none"/>
          <w:lang w:eastAsia="zh-CN"/>
        </w:rPr>
        <w:t>招标人</w:t>
      </w:r>
      <w:r>
        <w:rPr>
          <w:rFonts w:hint="eastAsia" w:ascii="仿宋" w:hAnsi="仿宋" w:eastAsia="仿宋" w:cs="仿宋"/>
          <w:color w:val="auto"/>
          <w:sz w:val="24"/>
          <w:highlight w:val="none"/>
        </w:rPr>
        <w:t>或</w:t>
      </w:r>
      <w:r>
        <w:rPr>
          <w:rFonts w:hint="eastAsia" w:ascii="仿宋" w:hAnsi="仿宋" w:eastAsia="仿宋" w:cs="仿宋"/>
          <w:color w:val="auto"/>
          <w:sz w:val="24"/>
          <w:highlight w:val="none"/>
          <w:lang w:eastAsia="zh-CN"/>
        </w:rPr>
        <w:t>招标代理</w:t>
      </w:r>
      <w:r>
        <w:rPr>
          <w:rFonts w:hint="eastAsia" w:ascii="仿宋" w:hAnsi="仿宋" w:eastAsia="仿宋" w:cs="仿宋"/>
          <w:color w:val="auto"/>
          <w:sz w:val="24"/>
          <w:highlight w:val="none"/>
        </w:rPr>
        <w:t>机构将通过查看</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投标文件、对比</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股权信息等方式，认真核查同一项目中不同</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之间，是否存在单位负责人为同一人或者存在直接控股、管理关系的情况。对疑似存在上述情形的</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，将被要求在评标现场合理的时间内提供书面说明（必要时还需提交相关证明材料）。</w:t>
      </w:r>
    </w:p>
    <w:p w14:paraId="24456D4F">
      <w:pPr>
        <w:spacing w:line="360" w:lineRule="auto"/>
        <w:ind w:firstLine="470" w:firstLineChars="196"/>
        <w:rPr>
          <w:rFonts w:ascii="仿宋" w:hAnsi="仿宋" w:eastAsia="仿宋" w:cs="仿宋"/>
          <w:color w:val="auto"/>
          <w:highlight w:val="none"/>
        </w:rPr>
      </w:pPr>
      <w:r>
        <w:rPr>
          <w:rFonts w:hint="eastAsia" w:ascii="仿宋" w:hAnsi="仿宋" w:eastAsia="仿宋" w:cs="仿宋"/>
          <w:color w:val="auto"/>
          <w:sz w:val="24"/>
          <w:highlight w:val="none"/>
        </w:rPr>
        <w:t>3.3经核实，投标</w:t>
      </w:r>
      <w:r>
        <w:rPr>
          <w:rFonts w:hint="eastAsia" w:ascii="仿宋" w:hAnsi="仿宋" w:eastAsia="仿宋" w:cs="仿宋"/>
          <w:color w:val="auto"/>
          <w:sz w:val="24"/>
          <w:highlight w:val="none"/>
          <w:lang w:eastAsia="zh-CN"/>
        </w:rPr>
        <w:t>人</w:t>
      </w:r>
      <w:r>
        <w:rPr>
          <w:rFonts w:hint="eastAsia" w:ascii="仿宋" w:hAnsi="仿宋" w:eastAsia="仿宋" w:cs="仿宋"/>
          <w:color w:val="auto"/>
          <w:sz w:val="24"/>
          <w:highlight w:val="none"/>
        </w:rPr>
        <w:t>确实存在《</w:t>
      </w:r>
      <w:r>
        <w:rPr>
          <w:rFonts w:hint="eastAsia" w:ascii="仿宋" w:hAnsi="仿宋" w:eastAsia="仿宋" w:cs="仿宋"/>
          <w:color w:val="auto"/>
          <w:sz w:val="22"/>
          <w:szCs w:val="22"/>
          <w:highlight w:val="none"/>
        </w:rPr>
        <w:t>中华人民共和国招标投标法</w:t>
      </w:r>
      <w:r>
        <w:rPr>
          <w:rFonts w:hint="eastAsia" w:ascii="仿宋" w:hAnsi="仿宋" w:eastAsia="仿宋" w:cs="仿宋"/>
          <w:color w:val="auto"/>
          <w:sz w:val="24"/>
          <w:highlight w:val="none"/>
        </w:rPr>
        <w:t>实施条例》第三十四条规定情形的，其投标将被依法认定为无效。</w:t>
      </w:r>
    </w:p>
    <w:p w14:paraId="755C06E7">
      <w:pPr>
        <w:spacing w:line="360" w:lineRule="auto"/>
        <w:ind w:firstLine="472" w:firstLineChars="196"/>
        <w:rPr>
          <w:rFonts w:ascii="仿宋" w:hAnsi="仿宋" w:eastAsia="仿宋" w:cs="仿宋"/>
          <w:b/>
          <w:color w:val="auto"/>
          <w:sz w:val="24"/>
          <w:highlight w:val="none"/>
        </w:rPr>
      </w:pPr>
      <w:r>
        <w:rPr>
          <w:rFonts w:ascii="仿宋" w:hAnsi="仿宋" w:eastAsia="仿宋" w:cs="仿宋"/>
          <w:b/>
          <w:color w:val="auto"/>
          <w:sz w:val="24"/>
          <w:highlight w:val="none"/>
        </w:rPr>
        <w:t>4</w:t>
      </w:r>
      <w:r>
        <w:rPr>
          <w:rFonts w:hint="eastAsia" w:ascii="仿宋" w:hAnsi="仿宋" w:eastAsia="仿宋" w:cs="仿宋"/>
          <w:b/>
          <w:color w:val="auto"/>
          <w:sz w:val="24"/>
          <w:highlight w:val="none"/>
        </w:rPr>
        <w:t>.关于报价合理性</w:t>
      </w:r>
    </w:p>
    <w:p w14:paraId="3F9B9485">
      <w:pPr>
        <w:spacing w:line="360" w:lineRule="auto"/>
        <w:ind w:firstLine="470" w:firstLineChars="196"/>
        <w:rPr>
          <w:rFonts w:ascii="仿宋" w:hAnsi="仿宋" w:eastAsia="仿宋" w:cs="仿宋"/>
          <w:color w:val="auto"/>
          <w:sz w:val="24"/>
          <w:highlight w:val="none"/>
        </w:rPr>
      </w:pPr>
      <w:r>
        <w:rPr>
          <w:rFonts w:ascii="仿宋" w:hAnsi="仿宋" w:eastAsia="仿宋" w:cs="仿宋"/>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w:t>
      </w:r>
      <w:r>
        <w:rPr>
          <w:rFonts w:hint="eastAsia" w:ascii="仿宋" w:hAnsi="仿宋" w:eastAsia="仿宋" w:cs="仿宋"/>
          <w:color w:val="auto"/>
          <w:sz w:val="24"/>
          <w:highlight w:val="none"/>
        </w:rPr>
        <w:t>投标无效</w:t>
      </w:r>
      <w:r>
        <w:rPr>
          <w:rFonts w:ascii="仿宋" w:hAnsi="仿宋" w:eastAsia="仿宋" w:cs="仿宋"/>
          <w:color w:val="auto"/>
          <w:sz w:val="24"/>
          <w:highlight w:val="none"/>
        </w:rPr>
        <w:t>处理。</w:t>
      </w:r>
    </w:p>
    <w:p w14:paraId="0F8B8C32">
      <w:pPr>
        <w:spacing w:line="360" w:lineRule="auto"/>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若评标委员会成员对是否须由投标人作出报价合理性说明，以及书面说明是否采纳等判断不一致的，按照“少数服从多数”的原则确定评标委员会的意见。</w:t>
      </w:r>
    </w:p>
    <w:p w14:paraId="0B3470B6">
      <w:pPr>
        <w:spacing w:line="360" w:lineRule="auto"/>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提供报价合理性说明的方式包括但不限于现场提交、电子邮件提交、传真。</w:t>
      </w:r>
    </w:p>
    <w:p w14:paraId="3AB17913">
      <w:pPr>
        <w:spacing w:line="240" w:lineRule="auto"/>
        <w:ind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79F20E4E">
      <w:pPr>
        <w:pStyle w:val="5"/>
        <w:pageBreakBefore/>
        <w:numPr>
          <w:ilvl w:val="-1"/>
          <w:numId w:val="0"/>
        </w:numPr>
        <w:spacing w:line="415" w:lineRule="auto"/>
        <w:ind w:left="0" w:firstLine="0"/>
        <w:jc w:val="left"/>
        <w:rPr>
          <w:rFonts w:hint="default" w:ascii="仿宋" w:hAnsi="仿宋" w:eastAsia="仿宋" w:cs="仿宋"/>
          <w:b/>
          <w:bCs/>
          <w:sz w:val="21"/>
          <w:szCs w:val="21"/>
          <w:highlight w:val="none"/>
          <w:lang w:val="en-US" w:eastAsia="zh-CN"/>
        </w:rPr>
      </w:pPr>
      <w:bookmarkStart w:id="423" w:name="_Toc19618"/>
      <w:bookmarkStart w:id="424" w:name="_Toc19337"/>
      <w:bookmarkStart w:id="425" w:name="_Toc19296"/>
      <w:bookmarkStart w:id="426" w:name="_Toc128564769"/>
      <w:bookmarkStart w:id="427" w:name="_Toc7401"/>
      <w:bookmarkStart w:id="428" w:name="_Toc26549"/>
      <w:bookmarkStart w:id="429" w:name="_Toc28589"/>
      <w:bookmarkStart w:id="430" w:name="_Toc21867"/>
      <w:bookmarkStart w:id="431" w:name="_Toc99549957"/>
      <w:bookmarkStart w:id="432" w:name="_Toc100319584"/>
      <w:bookmarkStart w:id="433" w:name="_Toc54943417"/>
      <w:bookmarkStart w:id="434" w:name="_Toc15258"/>
      <w:bookmarkStart w:id="435" w:name="_Toc1936"/>
      <w:bookmarkStart w:id="436" w:name="_Toc2189"/>
      <w:r>
        <w:rPr>
          <w:rFonts w:hint="eastAsia" w:ascii="仿宋" w:hAnsi="仿宋" w:eastAsia="仿宋" w:cs="仿宋"/>
          <w:b/>
          <w:bCs/>
          <w:sz w:val="21"/>
          <w:szCs w:val="21"/>
          <w:highlight w:val="none"/>
          <w:lang w:val="en-US" w:eastAsia="zh-CN"/>
        </w:rPr>
        <w:t>一、招标范围</w:t>
      </w:r>
      <w:bookmarkEnd w:id="423"/>
      <w:bookmarkEnd w:id="424"/>
      <w:bookmarkEnd w:id="425"/>
    </w:p>
    <w:tbl>
      <w:tblPr>
        <w:tblStyle w:val="45"/>
        <w:tblW w:w="95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6"/>
        <w:gridCol w:w="1559"/>
        <w:gridCol w:w="4611"/>
        <w:gridCol w:w="1541"/>
      </w:tblGrid>
      <w:tr w14:paraId="5D1A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836" w:type="dxa"/>
            <w:vAlign w:val="center"/>
          </w:tcPr>
          <w:p w14:paraId="69018EBE">
            <w:pPr>
              <w:widowControl w:val="0"/>
              <w:spacing w:line="360" w:lineRule="auto"/>
              <w:jc w:val="center"/>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项目名称</w:t>
            </w:r>
          </w:p>
        </w:tc>
        <w:tc>
          <w:tcPr>
            <w:tcW w:w="1559" w:type="dxa"/>
            <w:vAlign w:val="center"/>
          </w:tcPr>
          <w:p w14:paraId="5E054858">
            <w:pPr>
              <w:widowControl w:val="0"/>
              <w:spacing w:line="360" w:lineRule="auto"/>
              <w:jc w:val="center"/>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招标控制金额（人民币）</w:t>
            </w:r>
          </w:p>
        </w:tc>
        <w:tc>
          <w:tcPr>
            <w:tcW w:w="4611" w:type="dxa"/>
            <w:vAlign w:val="center"/>
          </w:tcPr>
          <w:p w14:paraId="781C2257">
            <w:pPr>
              <w:widowControl w:val="0"/>
              <w:spacing w:line="360" w:lineRule="auto"/>
              <w:jc w:val="center"/>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标段供货范围</w:t>
            </w:r>
          </w:p>
        </w:tc>
        <w:tc>
          <w:tcPr>
            <w:tcW w:w="1541" w:type="dxa"/>
            <w:vAlign w:val="center"/>
          </w:tcPr>
          <w:p w14:paraId="5A82039A">
            <w:pPr>
              <w:widowControl w:val="0"/>
              <w:spacing w:line="360" w:lineRule="auto"/>
              <w:jc w:val="center"/>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备注</w:t>
            </w:r>
          </w:p>
        </w:tc>
      </w:tr>
      <w:tr w14:paraId="776B9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9" w:hRule="atLeast"/>
          <w:jc w:val="center"/>
        </w:trPr>
        <w:tc>
          <w:tcPr>
            <w:tcW w:w="1836" w:type="dxa"/>
            <w:vAlign w:val="center"/>
          </w:tcPr>
          <w:p w14:paraId="6CB06CB5">
            <w:pPr>
              <w:widowControl w:val="0"/>
              <w:spacing w:line="360" w:lineRule="auto"/>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2025-2026年日常养护项目交通安全设施专业分包采购</w:t>
            </w:r>
          </w:p>
        </w:tc>
        <w:tc>
          <w:tcPr>
            <w:tcW w:w="1559" w:type="dxa"/>
            <w:vAlign w:val="center"/>
          </w:tcPr>
          <w:p w14:paraId="695DAF34">
            <w:pPr>
              <w:keepLines/>
              <w:widowControl w:val="0"/>
              <w:tabs>
                <w:tab w:val="right" w:pos="0"/>
                <w:tab w:val="center" w:pos="7200"/>
                <w:tab w:val="right" w:pos="14400"/>
              </w:tabs>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1500</w:t>
            </w:r>
            <w:r>
              <w:rPr>
                <w:rFonts w:hint="eastAsia" w:ascii="仿宋" w:hAnsi="仿宋" w:eastAsia="仿宋" w:cs="仿宋"/>
                <w:sz w:val="21"/>
                <w:szCs w:val="21"/>
                <w:highlight w:val="none"/>
              </w:rPr>
              <w:t>万元</w:t>
            </w:r>
          </w:p>
        </w:tc>
        <w:tc>
          <w:tcPr>
            <w:tcW w:w="4611" w:type="dxa"/>
            <w:vAlign w:val="center"/>
          </w:tcPr>
          <w:p w14:paraId="2FE22834">
            <w:pPr>
              <w:keepLines/>
              <w:widowControl w:val="0"/>
              <w:tabs>
                <w:tab w:val="right" w:pos="0"/>
                <w:tab w:val="center" w:pos="7200"/>
                <w:tab w:val="right" w:pos="14400"/>
              </w:tabs>
              <w:spacing w:line="36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lang w:eastAsia="zh-CN"/>
              </w:rPr>
              <w:t>招标人</w:t>
            </w:r>
            <w:r>
              <w:rPr>
                <w:rFonts w:hint="eastAsia" w:ascii="仿宋" w:hAnsi="仿宋" w:eastAsia="仿宋" w:cs="仿宋"/>
                <w:sz w:val="21"/>
                <w:szCs w:val="21"/>
                <w:highlight w:val="none"/>
              </w:rPr>
              <w:t>承接的所有日常养护项目</w:t>
            </w:r>
            <w:r>
              <w:rPr>
                <w:rFonts w:hint="eastAsia" w:ascii="仿宋" w:hAnsi="仿宋" w:eastAsia="仿宋" w:cs="仿宋"/>
                <w:sz w:val="21"/>
                <w:szCs w:val="21"/>
                <w:highlight w:val="none"/>
                <w:lang w:val="en-US" w:eastAsia="zh-CN"/>
              </w:rPr>
              <w:t>范围内的交通安全设施，包括交通安全设施的日常保洁、日常保养、抢修、小修及抢险等，采购2家供应商</w:t>
            </w:r>
            <w:r>
              <w:rPr>
                <w:rFonts w:hint="eastAsia" w:ascii="仿宋" w:hAnsi="仿宋" w:eastAsia="仿宋" w:cs="仿宋"/>
                <w:sz w:val="21"/>
                <w:szCs w:val="21"/>
                <w:highlight w:val="none"/>
              </w:rPr>
              <w:t>。</w:t>
            </w:r>
          </w:p>
        </w:tc>
        <w:tc>
          <w:tcPr>
            <w:tcW w:w="1541" w:type="dxa"/>
            <w:vAlign w:val="center"/>
          </w:tcPr>
          <w:p w14:paraId="43F52804">
            <w:pPr>
              <w:keepLines/>
              <w:widowControl w:val="0"/>
              <w:tabs>
                <w:tab w:val="right" w:pos="0"/>
                <w:tab w:val="center" w:pos="7200"/>
                <w:tab w:val="right" w:pos="14400"/>
              </w:tabs>
              <w:spacing w:line="360" w:lineRule="auto"/>
              <w:jc w:val="center"/>
              <w:rPr>
                <w:rFonts w:hint="eastAsia" w:ascii="仿宋" w:hAnsi="仿宋" w:eastAsia="仿宋" w:cs="仿宋"/>
                <w:spacing w:val="80"/>
                <w:sz w:val="21"/>
                <w:szCs w:val="21"/>
                <w:highlight w:val="none"/>
              </w:rPr>
            </w:pPr>
            <w:r>
              <w:rPr>
                <w:rFonts w:hint="eastAsia" w:ascii="仿宋" w:hAnsi="仿宋" w:eastAsia="仿宋" w:cs="仿宋"/>
                <w:sz w:val="21"/>
                <w:szCs w:val="21"/>
                <w:highlight w:val="none"/>
                <w:lang w:val="en-US" w:eastAsia="zh-CN"/>
              </w:rPr>
              <w:t xml:space="preserve"> 采购2家交通安全设施专业分包商</w:t>
            </w:r>
          </w:p>
        </w:tc>
      </w:tr>
    </w:tbl>
    <w:p w14:paraId="782B18C8">
      <w:pPr>
        <w:pStyle w:val="2"/>
        <w:rPr>
          <w:rFonts w:hint="eastAsia"/>
          <w:highlight w:val="none"/>
        </w:rPr>
      </w:pPr>
    </w:p>
    <w:p w14:paraId="75E82D79">
      <w:pPr>
        <w:pStyle w:val="5"/>
        <w:spacing w:line="415" w:lineRule="auto"/>
        <w:rPr>
          <w:rFonts w:hint="eastAsia" w:ascii="仿宋" w:hAnsi="仿宋" w:eastAsia="仿宋" w:cs="仿宋"/>
          <w:b/>
          <w:bCs/>
          <w:sz w:val="21"/>
          <w:szCs w:val="21"/>
          <w:highlight w:val="none"/>
        </w:rPr>
      </w:pPr>
      <w:bookmarkStart w:id="437" w:name="_Toc8091"/>
      <w:bookmarkStart w:id="438" w:name="_Toc22722"/>
      <w:bookmarkStart w:id="439" w:name="_Toc8416"/>
      <w:r>
        <w:rPr>
          <w:rFonts w:hint="eastAsia" w:ascii="仿宋" w:hAnsi="仿宋" w:eastAsia="仿宋" w:cs="仿宋"/>
          <w:b/>
          <w:bCs/>
          <w:sz w:val="21"/>
          <w:szCs w:val="21"/>
          <w:highlight w:val="none"/>
          <w:lang w:val="en-US" w:eastAsia="zh-CN"/>
        </w:rPr>
        <w:t>二、</w:t>
      </w:r>
      <w:r>
        <w:rPr>
          <w:rFonts w:hint="eastAsia" w:ascii="仿宋" w:hAnsi="仿宋" w:eastAsia="仿宋" w:cs="仿宋"/>
          <w:b/>
          <w:bCs/>
          <w:sz w:val="21"/>
          <w:szCs w:val="21"/>
          <w:highlight w:val="none"/>
        </w:rPr>
        <w:t>★</w:t>
      </w:r>
      <w:r>
        <w:rPr>
          <w:rFonts w:hint="eastAsia" w:ascii="仿宋" w:hAnsi="仿宋" w:eastAsia="仿宋" w:cs="仿宋"/>
          <w:b/>
          <w:bCs/>
          <w:i w:val="0"/>
          <w:sz w:val="21"/>
          <w:szCs w:val="21"/>
          <w:highlight w:val="none"/>
        </w:rPr>
        <w:t>服务内容及要求</w:t>
      </w:r>
      <w:bookmarkEnd w:id="437"/>
      <w:bookmarkEnd w:id="438"/>
      <w:bookmarkEnd w:id="439"/>
    </w:p>
    <w:p w14:paraId="700AFCD4">
      <w:pPr>
        <w:rPr>
          <w:rFonts w:hint="eastAsia" w:ascii="宋体" w:hAnsi="宋体"/>
          <w:b/>
          <w:bCs/>
          <w:color w:val="auto"/>
          <w:sz w:val="28"/>
          <w:szCs w:val="28"/>
          <w:highlight w:val="none"/>
        </w:rPr>
      </w:pPr>
      <w:bookmarkStart w:id="440" w:name="_Toc18631"/>
      <w:r>
        <w:rPr>
          <w:rFonts w:hint="eastAsia" w:ascii="仿宋" w:hAnsi="仿宋" w:eastAsia="仿宋" w:cs="仿宋"/>
          <w:b/>
          <w:bCs/>
          <w:color w:val="auto"/>
          <w:sz w:val="21"/>
          <w:szCs w:val="21"/>
          <w:highlight w:val="none"/>
          <w:lang w:val="en-US" w:eastAsia="zh-CN"/>
        </w:rPr>
        <w:t>（一）</w:t>
      </w:r>
      <w:r>
        <w:rPr>
          <w:rFonts w:hint="eastAsia" w:ascii="仿宋" w:hAnsi="仿宋" w:eastAsia="仿宋" w:cs="仿宋"/>
          <w:bCs/>
          <w:color w:val="auto"/>
          <w:sz w:val="21"/>
          <w:szCs w:val="21"/>
          <w:highlight w:val="none"/>
        </w:rPr>
        <w:t>交通安全设施专业分包采购清单</w:t>
      </w:r>
    </w:p>
    <w:tbl>
      <w:tblPr>
        <w:tblStyle w:val="44"/>
        <w:tblW w:w="9796" w:type="dxa"/>
        <w:tblInd w:w="-34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2"/>
        <w:gridCol w:w="1072"/>
        <w:gridCol w:w="2614"/>
        <w:gridCol w:w="2095"/>
        <w:gridCol w:w="687"/>
        <w:gridCol w:w="1580"/>
        <w:gridCol w:w="1036"/>
      </w:tblGrid>
      <w:tr w14:paraId="247AF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1B57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序号</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B725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项目编码</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4DEB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项目名称</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E252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300"/>
                <w:sz w:val="18"/>
                <w:szCs w:val="18"/>
                <w:highlight w:val="none"/>
                <w:lang w:val="en-US" w:eastAsia="zh-CN" w:bidi="ar"/>
              </w:rPr>
              <w:t>项目特征描述</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1EE9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计量单位</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BA75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rFonts w:hint="eastAsia"/>
                <w:highlight w:val="none"/>
                <w:lang w:val="en-US" w:eastAsia="zh-CN" w:bidi="ar"/>
              </w:rPr>
              <w:t>招标控制价</w:t>
            </w:r>
            <w:r>
              <w:rPr>
                <w:rStyle w:val="299"/>
                <w:highlight w:val="none"/>
                <w:lang w:val="en-US" w:eastAsia="zh-CN" w:bidi="ar"/>
              </w:rPr>
              <w:t xml:space="preserve"> (元)</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7C62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计量规则</w:t>
            </w:r>
          </w:p>
        </w:tc>
      </w:tr>
      <w:tr w14:paraId="480AB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top"/>
          </w:tcPr>
          <w:p w14:paraId="32A9E68E">
            <w:pPr>
              <w:jc w:val="left"/>
              <w:rPr>
                <w:rFonts w:hint="eastAsia" w:ascii="宋体" w:hAnsi="宋体" w:cs="宋体"/>
                <w:i w:val="0"/>
                <w:iCs w:val="0"/>
                <w:color w:val="000000"/>
                <w:sz w:val="18"/>
                <w:szCs w:val="18"/>
                <w:highlight w:val="none"/>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top"/>
          </w:tcPr>
          <w:p w14:paraId="0D4574CB">
            <w:pPr>
              <w:jc w:val="left"/>
              <w:rPr>
                <w:rFonts w:hint="eastAsia" w:ascii="宋体" w:hAnsi="宋体" w:cs="宋体"/>
                <w:i w:val="0"/>
                <w:iCs w:val="0"/>
                <w:color w:val="000000"/>
                <w:sz w:val="18"/>
                <w:szCs w:val="18"/>
                <w:highlight w:val="none"/>
                <w:u w:val="none"/>
              </w:rPr>
            </w:pPr>
          </w:p>
        </w:tc>
        <w:tc>
          <w:tcPr>
            <w:tcW w:w="47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4E5383">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301"/>
                <w:sz w:val="18"/>
                <w:szCs w:val="18"/>
                <w:highlight w:val="none"/>
                <w:lang w:val="en-US" w:eastAsia="zh-CN" w:bidi="ar"/>
              </w:rPr>
              <w:t>(一)日常保洁</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01C81">
            <w:pPr>
              <w:jc w:val="center"/>
              <w:rPr>
                <w:rFonts w:hint="eastAsia" w:ascii="宋体" w:hAnsi="宋体" w:eastAsia="宋体" w:cs="宋体"/>
                <w:i w:val="0"/>
                <w:iCs w:val="0"/>
                <w:color w:val="000000"/>
                <w:sz w:val="18"/>
                <w:szCs w:val="18"/>
                <w:highlight w:val="none"/>
                <w:u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top"/>
          </w:tcPr>
          <w:p w14:paraId="4DC93E32">
            <w:pPr>
              <w:jc w:val="left"/>
              <w:rPr>
                <w:rFonts w:hint="eastAsia" w:ascii="宋体" w:hAnsi="宋体" w:cs="宋体"/>
                <w:i w:val="0"/>
                <w:iCs w:val="0"/>
                <w:color w:val="000000"/>
                <w:sz w:val="18"/>
                <w:szCs w:val="18"/>
                <w:highlight w:val="none"/>
                <w:u w:val="none"/>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top"/>
          </w:tcPr>
          <w:p w14:paraId="18E23A1E">
            <w:pPr>
              <w:jc w:val="left"/>
              <w:rPr>
                <w:rFonts w:hint="eastAsia" w:ascii="宋体" w:hAnsi="宋体" w:cs="宋体"/>
                <w:i w:val="0"/>
                <w:iCs w:val="0"/>
                <w:color w:val="000000"/>
                <w:sz w:val="18"/>
                <w:szCs w:val="18"/>
                <w:highlight w:val="none"/>
                <w:u w:val="none"/>
              </w:rPr>
            </w:pPr>
          </w:p>
        </w:tc>
      </w:tr>
      <w:tr w14:paraId="50A88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6CA0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C1E9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181001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99E2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清洗护栏（各种护栏清洗）</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B498F">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清洁无尘(2) 不分保洁方式</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E394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1C2A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5.16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EB49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按清洗护栏长度计</w:t>
            </w:r>
          </w:p>
        </w:tc>
      </w:tr>
      <w:tr w14:paraId="03198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E3EF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4C67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181002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94FC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清洗防撞沙桶（各种防撞沙桶清洗）</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D1CB9">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清洁无尘(2) 不分保洁方式(3)含防撞缓冲车</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C626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090E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2.67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EDAD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按清洗数量计</w:t>
            </w:r>
          </w:p>
        </w:tc>
      </w:tr>
      <w:tr w14:paraId="001D3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34D2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8A11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181003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5671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清洗隔离栅（隔离墩、波形护栏、防爬网、防抛网、隔离网、隔离柱等各种类型隔离栅）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E4585">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清洁无尘(2) 不分保洁方式</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96D9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44AC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4.52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DD45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按清洗交通设施的长度计</w:t>
            </w:r>
          </w:p>
        </w:tc>
      </w:tr>
      <w:tr w14:paraId="2BB32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7F0E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5E20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181004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3647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清洗交通标志牌牌面（标志牌面积2㎡以内，各种牌面清洗）</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E45E3">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清洁无尘(2) 不分保洁方式(3) 含高空作业车(4) 含防撞缓冲车</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6C95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E17C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3.93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2F9B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按清洗面积计</w:t>
            </w:r>
          </w:p>
        </w:tc>
      </w:tr>
      <w:tr w14:paraId="6E037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0C3D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3310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181005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64B8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清洗交通标志牌牌面（标志牌面积2㎡以上，各种牌面清洗）</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FC5B1">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清洁无尘(2) 不分保洁方式(3) 含高空作业车(4) 含防撞缓冲车</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0DF2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F197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7.81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E255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按清洗面积计</w:t>
            </w:r>
          </w:p>
        </w:tc>
      </w:tr>
      <w:tr w14:paraId="0DFC3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9981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BB24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181006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CCFF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清洗交通志标杆（不含牌面）</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CEB71">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清洁无尘(2) 不分保洁方式(3) 含高空作业车(4) 交通标志杆高度≤9m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3B9A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D350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94.38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DB99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按清洗数量计</w:t>
            </w:r>
          </w:p>
        </w:tc>
      </w:tr>
      <w:tr w14:paraId="221FC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1668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249E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181007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F39D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清洗交通志标杆（不含牌面）</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0A3BE">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清洁无尘(2) 不分保洁方式(3) 含高空作业车(4) 交通标志杆高度＞9m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EF76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EE89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123.01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6CA8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按清洗数量计</w:t>
            </w:r>
          </w:p>
        </w:tc>
      </w:tr>
      <w:tr w14:paraId="657BA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CB12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6781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181008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42C4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清洗三柱式或三柱式以上交通标志（不含牌面）</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76D00">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清洁无尘(2) 不分保洁方式(3) 不含高空作业车</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4807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332A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11.59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308A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按清洗数量计</w:t>
            </w:r>
          </w:p>
        </w:tc>
      </w:tr>
      <w:tr w14:paraId="01A4B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38EF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D70D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181009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4F39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清洗简易门架式交通标志（不含牌面）</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19524">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清洁无尘(2) 不分保洁方式(3) 不含高空作业车</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C154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3A41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91.08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35DA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按清洗数量计</w:t>
            </w:r>
          </w:p>
        </w:tc>
      </w:tr>
      <w:tr w14:paraId="4F3AD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A949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1D18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181010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E33C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清洗大型门架式交通标志（不含牌面）</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CB5C8">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清洁无尘(2) 不分保洁方式(3) 不含高空作业车</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9FF9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C624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140.43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6036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按清洗数量计</w:t>
            </w:r>
          </w:p>
        </w:tc>
      </w:tr>
      <w:tr w14:paraId="5AC6C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449A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2D92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181011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021C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清洗单悬臂式L型交通标志（不含牌面）</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01C82">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清洁无尘(2) 不分保洁方式(3) 不含高空作业车</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1FB9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04C6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83.91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5C78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按清洗数量计</w:t>
            </w:r>
          </w:p>
        </w:tc>
      </w:tr>
      <w:tr w14:paraId="62264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56B8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54C4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181012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7FC3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清洗双悬臂式F型、T型交通标志（不含牌面）</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A6D37">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清洁无尘(2) 不分保洁方式(3) 不含高空作业车</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46AA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8453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39.72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1B0C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按清洗数量计</w:t>
            </w:r>
          </w:p>
        </w:tc>
      </w:tr>
      <w:tr w14:paraId="6AEC8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85EC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C48C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181013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6786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清洗悬挂式Y型交通标志（不含牌面）</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8C78D">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清洁无尘(2) 不分保洁方式(3) 不含高空作业车</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A446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211F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24.52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C81E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按清洗数量计</w:t>
            </w:r>
          </w:p>
        </w:tc>
      </w:tr>
      <w:tr w14:paraId="3C3F0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95CA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917F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181014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597E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清洗附着式大型标志（不含牌面）</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C92C7">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清洁无尘(2) 不分保洁方式(3) 不含高空作业车</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1A7C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EC64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36.18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FC85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按清洗数量计</w:t>
            </w:r>
          </w:p>
        </w:tc>
      </w:tr>
      <w:tr w14:paraId="3C94B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6483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BBA1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181015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12C8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其他交通设施结构表面清洗</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08075">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清洁无尘(2) 不分保洁方式(3) 不含高空作业车</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C325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3291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2.07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0850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按清洗面积计</w:t>
            </w:r>
          </w:p>
        </w:tc>
      </w:tr>
      <w:tr w14:paraId="67984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BF93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FDC1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181016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8162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清洗示警桩（各种类示警桩、防撞柱、车止石）</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9DDEC">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清洁无尘(2) 不分保洁方式</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B0F2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6C9F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0.82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A1A8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按清洗数量计</w:t>
            </w:r>
          </w:p>
        </w:tc>
      </w:tr>
      <w:tr w14:paraId="345EE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top"/>
          </w:tcPr>
          <w:p w14:paraId="74ECD352">
            <w:pPr>
              <w:jc w:val="left"/>
              <w:rPr>
                <w:rFonts w:hint="eastAsia" w:ascii="宋体" w:hAnsi="宋体" w:cs="宋体"/>
                <w:i w:val="0"/>
                <w:iCs w:val="0"/>
                <w:color w:val="000000"/>
                <w:sz w:val="18"/>
                <w:szCs w:val="18"/>
                <w:highlight w:val="none"/>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top"/>
          </w:tcPr>
          <w:p w14:paraId="3396AF12">
            <w:pPr>
              <w:jc w:val="left"/>
              <w:rPr>
                <w:rFonts w:hint="eastAsia" w:ascii="宋体" w:hAnsi="宋体" w:cs="宋体"/>
                <w:i w:val="0"/>
                <w:iCs w:val="0"/>
                <w:color w:val="000000"/>
                <w:sz w:val="18"/>
                <w:szCs w:val="18"/>
                <w:highlight w:val="none"/>
                <w:u w:val="none"/>
              </w:rPr>
            </w:pPr>
          </w:p>
        </w:tc>
        <w:tc>
          <w:tcPr>
            <w:tcW w:w="47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FE1C39">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302"/>
                <w:highlight w:val="none"/>
                <w:lang w:val="en-US" w:eastAsia="zh-CN" w:bidi="ar"/>
              </w:rPr>
              <w:t>(二)交通标线</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32B46">
            <w:pPr>
              <w:jc w:val="center"/>
              <w:rPr>
                <w:rFonts w:hint="eastAsia" w:ascii="宋体" w:hAnsi="宋体" w:eastAsia="宋体" w:cs="宋体"/>
                <w:i w:val="0"/>
                <w:iCs w:val="0"/>
                <w:color w:val="000000"/>
                <w:sz w:val="18"/>
                <w:szCs w:val="18"/>
                <w:highlight w:val="none"/>
                <w:u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top"/>
          </w:tcPr>
          <w:p w14:paraId="50FBAC8E">
            <w:pPr>
              <w:jc w:val="left"/>
              <w:rPr>
                <w:rFonts w:hint="eastAsia" w:ascii="宋体" w:hAnsi="宋体" w:cs="宋体"/>
                <w:i w:val="0"/>
                <w:iCs w:val="0"/>
                <w:color w:val="000000"/>
                <w:sz w:val="18"/>
                <w:szCs w:val="18"/>
                <w:highlight w:val="none"/>
                <w:u w:val="none"/>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top"/>
          </w:tcPr>
          <w:p w14:paraId="6CB2D4AD">
            <w:pPr>
              <w:jc w:val="left"/>
              <w:rPr>
                <w:rFonts w:hint="eastAsia" w:ascii="宋体" w:hAnsi="宋体" w:cs="宋体"/>
                <w:i w:val="0"/>
                <w:iCs w:val="0"/>
                <w:color w:val="000000"/>
                <w:sz w:val="18"/>
                <w:szCs w:val="18"/>
                <w:highlight w:val="none"/>
                <w:u w:val="none"/>
              </w:rPr>
            </w:pPr>
          </w:p>
        </w:tc>
      </w:tr>
      <w:tr w14:paraId="279F7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9E4A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8077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182025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DF4F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沥青路面热熔标线（纵向实线、虚线）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35D7F">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(1)深标II型热熔涂料(2)实测厚度≥2.5mm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C53A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B2ED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42.58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A083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按施划表面积计</w:t>
            </w:r>
          </w:p>
        </w:tc>
      </w:tr>
      <w:tr w14:paraId="6C3B8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0BE7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3EA6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w:t>
            </w:r>
            <w:r>
              <w:rPr>
                <w:rFonts w:hint="eastAsia" w:ascii="宋体" w:hAnsi="宋体" w:cs="宋体"/>
                <w:i w:val="0"/>
                <w:iCs w:val="0"/>
                <w:color w:val="000000"/>
                <w:kern w:val="0"/>
                <w:sz w:val="18"/>
                <w:szCs w:val="18"/>
                <w:highlight w:val="none"/>
                <w:u w:val="none"/>
                <w:lang w:val="en-US" w:eastAsia="zh-CN" w:bidi="ar"/>
              </w:rPr>
              <w:t>2026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DE41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沥青路面热熔标线（纵向实线、虚线）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4BA5A">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(1)深标Ⅲ型热熔涂料(2)实测厚度≥2.5mm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D15F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404B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57.01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EADD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按施划表面积计</w:t>
            </w:r>
          </w:p>
        </w:tc>
      </w:tr>
      <w:tr w14:paraId="69183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ACB8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B638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182027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84C8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沥青路面热熔标线（纵向实线、虚线）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3056C">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(1)深标Ⅳ型热熔涂料(2)实测厚度≥2.5mm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9206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1CF0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79.78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F01C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按施划表面积计</w:t>
            </w:r>
          </w:p>
        </w:tc>
      </w:tr>
      <w:tr w14:paraId="77A4E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3ED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DF4E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182028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BFEF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混凝土路面热熔标线（纵向实线、虚线）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31058">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(1)深标Ⅱ型热熔涂料(2)实测厚度≥2.5mm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BE5D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A678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51.00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3A39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按施划表面积计</w:t>
            </w:r>
          </w:p>
        </w:tc>
      </w:tr>
      <w:tr w14:paraId="355D9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813A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917E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182029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04F9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混凝土路面热熔标线（纵向实线、虚线）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3711F">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(1)深标Ⅲ型热熔涂料(2)实测厚度≥2.5mm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0350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CBCF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68.39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A733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按施划表面积计</w:t>
            </w:r>
          </w:p>
        </w:tc>
      </w:tr>
      <w:tr w14:paraId="19D51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11F6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6410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182030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3753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混凝土路面热熔标线（纵向实线、虚线）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10A38">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(1)深标Ⅳ型热熔涂料(2)实测厚度≥2.5mm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6625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9EE5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91.38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7985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按施划表面积计</w:t>
            </w:r>
          </w:p>
        </w:tc>
      </w:tr>
      <w:tr w14:paraId="2A291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0D3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3297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182031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5BE5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沥青路面热熔标线（除中英文文字、阿拉伯数字、特殊图形标记外的零星标线）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76CE7">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(1)深标Ⅱ型热熔涂料(2)实测厚度≥2.5mm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810D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2297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52.95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BEFB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按施划面积计</w:t>
            </w:r>
          </w:p>
        </w:tc>
      </w:tr>
      <w:tr w14:paraId="76E18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6BC6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38EA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182032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FEB0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沥青路面热熔标线（除中英文文字、阿拉伯数字、特殊图形标记外的零星标线）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83EB6">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(1)深标Ⅲ型热熔涂料(2)实测厚度≥2.5mm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779B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3124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71.78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AB85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按施划面积计</w:t>
            </w:r>
          </w:p>
        </w:tc>
      </w:tr>
      <w:tr w14:paraId="23570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9A64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7B9F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182033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EBEC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沥青路面热熔标线（除中英文文字、阿拉伯数字、特殊图形标记外的零星标线）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BBDC3">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(1)深标Ⅳ型热熔涂料(2)实测厚度≥2.5mm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6667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47ED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98.69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A0B5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按施划面积计</w:t>
            </w:r>
          </w:p>
        </w:tc>
      </w:tr>
      <w:tr w14:paraId="1625F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4B73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6F41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182034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DEC1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混凝土路面热熔标线（除中英文文字、阿拉伯数字、特殊图形标记外的零星标线）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3229C">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(1)深标Ⅱ型热熔涂料(2)实测厚度≥2.5mm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4D68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BDC8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51.00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9CE3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按施划面积计</w:t>
            </w:r>
          </w:p>
        </w:tc>
      </w:tr>
      <w:tr w14:paraId="41851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C29F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E6E6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182035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840F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混凝土路面热熔标线（除中英文文字、阿拉伯数字、特殊图形标记外的零星标线）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E8D57">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(1)深标Ⅲ型热熔涂料(2)实测厚度≥2.5mm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5868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4EA5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68.39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8848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按施划面积计</w:t>
            </w:r>
          </w:p>
        </w:tc>
      </w:tr>
      <w:tr w14:paraId="67AB9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EF0E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3F27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182036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685B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混凝土路面热熔标线（除中英文文字、阿拉伯数字、特殊图形标记外的零星标线）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4521E">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(1)深标Ⅳ型热熔涂料(2)实测厚度≥2.5mm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6408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DE28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93.38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F0EC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按施划面积计</w:t>
            </w:r>
          </w:p>
        </w:tc>
      </w:tr>
      <w:tr w14:paraId="360C9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775C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2FFC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182037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4CAF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沥青路面热熔标线（中英文文字、阿拉伯数字、特殊图形标记）</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366C4">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(1)深标Ⅱ型热熔涂料(2)实测厚度≥2.5mm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F55D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241F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26.48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EE1D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按包含该标记的最小矩形面积计</w:t>
            </w:r>
          </w:p>
        </w:tc>
      </w:tr>
      <w:tr w14:paraId="13E37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4AA2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DA80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182038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67D1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沥青路面热熔标线（中英文文字、阿拉伯数字、特殊图形标记）</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A0A0A">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(1)深标Ⅲ型热熔涂料(2)实测厚度≥2.5mm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A3BC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E551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35.90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423E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按包含该标记的最小矩形面积计</w:t>
            </w:r>
          </w:p>
        </w:tc>
      </w:tr>
      <w:tr w14:paraId="3EE59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2CA1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13EF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182039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45FE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沥青路面热熔标线（中英文文字、阿拉伯数字、特殊图形标记）</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1D1B0">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(1)深标Ⅳ型热熔涂料(2)实测厚度≥2.5mm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20AA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EE1C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49.35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DFD5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按包含该标记的最小矩形面积计</w:t>
            </w:r>
          </w:p>
        </w:tc>
      </w:tr>
      <w:tr w14:paraId="199AC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6FB8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FF58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182040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D66A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混凝土路面热熔标线（中英文文字、阿拉伯数字、特殊图形标记）</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0DC92">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(1)深标Ⅱ型热熔涂料(2)实测厚度≥2.5mm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4ACF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2B85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25.60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54B1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按包含该标记的最小矩形面积计</w:t>
            </w:r>
          </w:p>
        </w:tc>
      </w:tr>
      <w:tr w14:paraId="2EA2D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63DC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F0B6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182041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9248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混凝土路面热熔标线（中英文文字、阿拉伯数字、特殊图形标记）</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C242D">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(1)深标Ⅲ型热熔涂料(2)实测厚度≥2.5mm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54F3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E803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34.20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55DA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按包含该标记的最小矩形面积计</w:t>
            </w:r>
          </w:p>
        </w:tc>
      </w:tr>
      <w:tr w14:paraId="3A1F5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ADC6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C9A9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182042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B5A5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混凝土路面热熔标线（中英文文字、阿拉伯数字、特殊图形标记）</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A5A60">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(1)深标Ⅳ型热熔涂料(2)实测厚度≥2.5mm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7EF3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B17B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45.71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EB12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按包含该标记的最小矩形面积计</w:t>
            </w:r>
          </w:p>
        </w:tc>
      </w:tr>
      <w:tr w14:paraId="116FE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51E5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BAF3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182043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4EDA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沥青路面热熔振荡标线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BB3D9">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突起型热熔反光标线涂料(2) 突起部分厚度≥5mm(3) 工程量按表面积计量（不计重叠）</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685E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A8FF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70.43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D1E5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按施划表面积计</w:t>
            </w:r>
          </w:p>
        </w:tc>
      </w:tr>
      <w:tr w14:paraId="69609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6DC8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67F9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182044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11EE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沥青路面横向热熔减速标线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57A0E">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深标Ⅲ型高抗压超耐磨反光涂料(2) 实测厚度≥4mm(3) 分二层施划：底层宽40cm，顶层宽20cm(4) 工程量按表面积计量（不计重叠）</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79BF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0FDD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54.20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9166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按施划表面积计</w:t>
            </w:r>
          </w:p>
        </w:tc>
      </w:tr>
      <w:tr w14:paraId="3DC96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8F4F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B886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182045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943C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沥青路面水下反光型热熔标线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691FE">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深标Ⅲ型高抗压超耐磨反光涂料(2) 标线实测厚度≥2.5mm(3) 水下反光陶瓷玻璃珠(4) 工程量按实计量（不计重叠）</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4277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CBA8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54.55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361A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按施划表面积计</w:t>
            </w:r>
          </w:p>
        </w:tc>
      </w:tr>
      <w:tr w14:paraId="31F63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D23C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52F3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182046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201B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混凝土路面热熔振荡标线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1A6AB">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突起型热熔反光标线涂料(2) 突起部分厚度≥5mm(3) 工程量按表面积计量（不计重叠）</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BE41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6A79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76.06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2A7D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按施划表面积计</w:t>
            </w:r>
          </w:p>
        </w:tc>
      </w:tr>
      <w:tr w14:paraId="4A197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42FE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DF2D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182047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F59D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混凝土路面横向热熔减速标线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7D23E">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深标Ⅱ型高抗压超耐磨反光涂料(2) 单层实测厚度≥2.5mm(3) 分二层施划：底层宽40cm，顶层宽20cm(4) 工程量按表面积计量（不计重叠）</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C441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F7F7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37.78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0BF1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按施划表面积计</w:t>
            </w:r>
          </w:p>
        </w:tc>
      </w:tr>
      <w:tr w14:paraId="54C4C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3520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40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319B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182048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B589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混凝土路面水下反光型热熔标线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1DE44">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深标Ⅱ型高抗压超耐磨反光涂料(2) 标线实测厚度≥2.5mm(3) 水下反光陶瓷玻璃珠(4) 工程量按实计量（不计重叠）</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CB36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083E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38.13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7641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按施划表面积计</w:t>
            </w:r>
          </w:p>
        </w:tc>
      </w:tr>
      <w:tr w14:paraId="2B628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8799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41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C7A1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182049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56B8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溶剂型冷涂标线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D8D71">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溶剂型丙烯酸标线涂料(2) 干膜厚度≥100μm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2D1E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DB2F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12.41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1C2D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按施划表面积计</w:t>
            </w:r>
          </w:p>
        </w:tc>
      </w:tr>
      <w:tr w14:paraId="120DF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2A3E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42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4835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182050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AB1A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双组份喷涂型路面标线（纵向实线、虚线）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6116A">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1.密度(g/cm³) :2.02.选用双组分反光涂料 ，内含反光微珠必须≥20%，A:B=1:1，固化剂用量为总量的4%3.初始施划时逆反射系数 :白色≥250，黄色≥1254.不粘胎干燥时间≤35min5.耐磨性(mg):200转/1000g后减重≤306.标线厚度≥0.8mm7.耐水性 :在水中浸24h应无异常现象8.耐碱性 :在氢氧化钙饱和溶液中浸24h应无异常9.施工性能 :按生产厂地要求，将A、B组份按一定比例混合搅拌均匀后,喷涂施工性能良好10.双组份喷涂型设备消耗量：1.8台班/100㎡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E14B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D42C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52.46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FAEC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按施划表面积计</w:t>
            </w:r>
          </w:p>
        </w:tc>
      </w:tr>
      <w:tr w14:paraId="6C9D9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6239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43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FEE4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182051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597F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双组份喷涂型路面标线（中英文文字、阿拉伯数字、特殊图形标记）</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409D4">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1.密度(g/cm³) :2.02.选用双组分反光涂料 ，内含反光微珠必须≥20%，A:B=1:1，固化剂用量为总量的4%3.初始施划时逆反射系数 :白色≥250，黄色≥1254.不粘胎干燥时间≤35min5.耐磨性(mg):200转/1000g后减重≤306.标线厚度≥0.8mm7.耐水性 :在水中浸24h应无异常现象8.耐碱性 :在氢氧化钙饱和溶液中浸24h应无异常9.施工性能 :按生产厂地要求，将A、B组份按一定比例混合搅拌均匀后,喷涂施工性能良好10.双组份喷涂型设备消耗量：2.2台班/100㎡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5222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C45A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55.75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2EC8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按施划表面积计</w:t>
            </w:r>
          </w:p>
        </w:tc>
      </w:tr>
      <w:tr w14:paraId="55996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9425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44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FC36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182052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6089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双组份点涂型路面标线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0A97E">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1.密度(g/cm³) : 2.02.选用双组分反光涂料,内含反光微珠必须≥20%，施划时面撒玻璃微珠应采用双撒工艺 ，前撒大颗粒玻璃微珠 ，微珠粒径美3珠0.85-1.4mm，用量约为0.3kg/㎡；后撒小颗粒微珠，微珠粒径美2珠0.35-0.85mm，用量约为0.3kg/㎡；前后微珠撒布要足量均匀 ，总用量应控制为0.6kg/㎡。成圆率≥80%，固化剂用量为总量的4%3.初始施划时逆反射系数 :白色≥250，黄色≥1254.不粘胎干燥时间≤35min5.耐磨性(mg):200转/1000g后减重≤306.标线厚度≥2.5mm7.耐水性 :在水中浸24h应无异常现象8.耐碱性 :在氢氧化钙饱和溶液中浸24h应无异常9.施工性能 :按生产厂地要求,将A、B组份按一定比例混合搅拌均匀后，点涂施工性能良好10.双组分点涂型设备消耗量：1.8台班/100㎡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69F7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07C5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88.34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FBCF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按施划表面积计</w:t>
            </w:r>
          </w:p>
        </w:tc>
      </w:tr>
      <w:tr w14:paraId="37993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46F7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45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22F7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182053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E793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双组份点涂型路面标线（中英文文字、阿拉伯数字、特殊图形标记）</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452C5">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1.密度(g/cm³) : 2.02.选用双组分反光涂料,内含反光微珠必须≥20%，施划时面撒玻璃微珠应采用双撒工艺 ，前撒大颗粒玻璃微珠 ，微珠粒径美3珠0.85-1.4mm，用量约为0.3kg/㎡；后撒小颗粒微珠，微珠粒径美2珠0.35-0.85mm，用量约为0.3kg/㎡；前后微珠撒布要足量均匀 ，总用量应控制为0.6kg/㎡。成圆率≥80%，固化剂用量为总量的4%3.初始施划时逆反射系数 :白色≥250，黄色≥1254.不粘胎干燥时间≤35min5.耐磨性(mg):200转/1000g后减重≤306.标线厚度≥2.0mm7.耐水性 :在水中浸24h应无异常现象8.耐碱性 :在氢氧化钙饱和溶液中浸24h应无异常9.施工性能 :按生产厂地要求,将A、B组份按一定比例混合搅拌均匀后，点涂施工性能良好10.双组分点涂型设备消耗量：2 4台班/100㎡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BD8E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75FF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95.89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2A08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按施划表面积计</w:t>
            </w:r>
          </w:p>
        </w:tc>
      </w:tr>
      <w:tr w14:paraId="4DE6E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B27E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46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0098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182054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F403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双组份刮涂型路面标线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D91D8">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1.密度(g/cm³): 2.02.选用双组分反光涂料,内含反光微珠必须≥20%，施划时面撒玻璃微珠应采用双撒工艺 ，前撒大颗粒玻璃微珠 ，微珠粒径美3珠0.85一1.4mm用量约为0.3kg/㎡，后撒小颗粒微珠，微珠粒径美2珠0.35-0.85mm用量约为0.3kg/㎡;前后微珠撒布要足量均匀，总用量应控制为0.6kg/㎡。成圆率≥80%，固化剂用量为总量的4%3.初始施划时逆反射系数 :白色≥250，黄色≥1254.不粘胎干燥时间≤35min5.耐磨性(mg) : 200转/1000g后减重≤306.标线厚度≥2.0mm7.耐水性 :在水中浸24h应无异常现象8.耐碱性 :在氢氧化钙饱和溶液中浸24h应无异常9.施工性能 :按生产厂地要求，将A、B组份按一定比例混合搅拌均匀后，刮涂施工性能良好10.双组分刮涂型设备：2.2台班/100㎡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57F5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6CBA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86.46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18BA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按施划表面积计</w:t>
            </w:r>
          </w:p>
        </w:tc>
      </w:tr>
      <w:tr w14:paraId="2A2A1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271D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47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CB0D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182055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88BB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双组份刮涂型路面标线（中英文文字、阿拉伯数字、特殊图形标记）</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3356B">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1.密度(g/cm³): 2.02.选用双组分反光涂料,内含反光微珠必须≥20%，施划时面撒玻璃微珠应采用双撒工艺 ，前撒大颗粒玻璃微珠 ，微珠粒径美3珠0.85一1.4mm用量约为0.3kg/㎡，后撒小颗粒微珠，微珠粒径美2珠0.35-0.85mm用量约为0.3kg/㎡;前后微珠撒布要足量均匀，总用量应控制为0.6kg/㎡。成圆率≥80%，固化剂用量为总量的4%3.初始施划时逆反射系数 :白色≥250，黄色≥1254.不粘胎干燥时间≤35min5.耐磨性(mg) : 200转/1000g后减重≤306.标线厚度≥2.0mm7.耐水性 :在水中浸24h应无异常现象8.耐碱性 :在氢氧化钙饱和溶液中浸24h应无异常9.施工性能 :按生产厂地要求，将A、B组份按一定比例混合搅拌均匀后，刮涂施工性能良好10.双组分刮涂型设备：2.6台班/100㎡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F88B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7B2C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90.23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1EA4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按施划表面积计</w:t>
            </w:r>
          </w:p>
        </w:tc>
      </w:tr>
      <w:tr w14:paraId="304DC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49E4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48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4CC8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182056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5047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双组份鱼尾纹定制型斑马线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DA86C">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1.密度(g/cm³): 2.02.选用双组份反光涂料 ，内含反光微珠必须≥30%，施划时面撒玻璃微珠应采用双撒工艺，前撒大颗粒玻璃微珠 ，微珠粒径美3珠0.85-1.4mm用量约为0.3kg/㎡ ，后撒小颗粒微珠，微珠粒径美2珠0.35-0.85mm用量约为0.3kg/㎡；前后微珠撒布要足量均匀，总用量应控制为0.6kg/㎡ 。成圆率≥80%3.初始施划时逆反射系数 :白色≥250，黄色≥1254.不粘胎干燥时间≤35min5.耐磨性(mg):200 转/1000g后减重≤306.标线厚度≥3mm7.耐水性 :在水中浸24h应无异常现象8.耐碱性 :在氢氧化钙饱和溶液中浸24h应无异常9.施工性能 :按生产厂地要求，将A、B组份按一定比例混合搅拌均匀后，刮涂、点涂施工性能良好。10.标线抗滑值应不小于50BPN11.双组分刮涂型设备： 1.65台班/100㎡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52D0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B331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81.28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149E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按施划表面积计</w:t>
            </w:r>
          </w:p>
        </w:tc>
      </w:tr>
      <w:tr w14:paraId="08C1B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6237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49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834A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182057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1077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清除标线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DC3FD">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(1)机械清除</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935A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E4B2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32.20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3FE9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按清除实际面积计</w:t>
            </w:r>
          </w:p>
        </w:tc>
      </w:tr>
      <w:tr w14:paraId="183CE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4ACE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0C42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182058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9F23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清除标线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74A73">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(1)化学清除</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E1CB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7080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48.61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6A3F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按清除实际面积计</w:t>
            </w:r>
          </w:p>
        </w:tc>
      </w:tr>
      <w:tr w14:paraId="362B6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B9A1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A106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182059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7B3E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清除标线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2EA74">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(1)高压水清除(2)水压压强≥90MPa</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D1FD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732F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56.05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3D7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按清除实际面积计</w:t>
            </w:r>
          </w:p>
        </w:tc>
      </w:tr>
      <w:tr w14:paraId="3221B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478A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29E3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182060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BF8B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减速路拱（中段）</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0D1F6">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橡胶路拱(2) 500×415×55mm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91FA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E679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136.92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EB39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37A23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7307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1C07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182061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C74D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减速路拱（端头）</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8C45E">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橡胶路拱(2) 315×415×55mm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9315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2565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42.28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BCAF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00CDF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3A5F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B230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182062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C0C3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减速路拱（中段）</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43D1C">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橡胶路拱(2) 250×360×50mm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9072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98DB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97.90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03BB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7BA66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238C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A2E4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182063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6CDF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减速路拱（端头）</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7150F">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橡胶路拱(2) 250×360×50mm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1648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AC26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32.28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83B4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6A583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19D7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F485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182064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05A5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普通单面反光道钉</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BBBD1">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普通单面反光道钉（铸铝100×100mm、高强耐磨型或工业塑料100×90mm、钻石级反光型）(2) 铝合金壳体、微棱镜反射体(3) 拆除旧路标</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781A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85B3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31.89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2042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69553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A3B4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4804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182065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3334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普通单面反光道钉</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B7218">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普通单面反光道钉（高强度工程塑料基体100×90mm、高强耐磨型或工业塑料100×90mm）(2) 高强度工程塑料基体 、涂覆耐磨涂层微棱镜反光片(3) 拆除旧路标</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F958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50A9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27.96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5B82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188DE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1259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5D6F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182066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42BF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普通双面反光道钉</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67F65">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普通双面反光道钉（铸铝100×100mm、高强耐磨型或工业塑料100×90mm、钻石级反光型）(2) 铝合金壳体、微棱镜反射体(3) 拆除旧路标</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2DF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3AE9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36.58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5E63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0A377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9668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C4E6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182067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DBE6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普通双面反光道钉</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60381">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普通双面反光道钉（高强度工程塑料基体100×90mm、高强耐磨型或工业塑料100×90mm）(2) 高强度工程塑料基体 、涂覆耐磨涂层微棱镜反光片(3) 拆除旧路标</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3827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38FF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35.10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7877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68DEA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8815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60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46CE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182068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B234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太阳能单面反光道钉</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8B85C">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尺寸：110×110mm(2) 铝合金及工程塑料壳体、微棱镜反射体(3) 拆除旧路标</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AB15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5CD1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38.93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2B05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2E100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959F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61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260D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182069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9845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太阳能双面反光道钉</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E40A5">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尺寸：110×117.6mm(2) 铝合金及工程塑料壳体、微棱镜反射体(3) 拆除旧路标</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98A3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E8DC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50.64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8AD8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49746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A75B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62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1E19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182070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547F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360度猫眼道钉</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B3113">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玻璃反光道钉(2) 拆除旧路标</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1394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2A4E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32.48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1862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3FFDD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87C2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63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3C78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182071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2A12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普通单面反光道钉</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44601">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普通单面反光道钉（铸铝100×100mm、高强耐磨型或工业塑料100×90mm、钻石级反光型）(2) 铝合金壳体、微棱镜反射体(3) 不含拆除旧路标</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1859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5199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26.07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B134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按剔除数量计</w:t>
            </w:r>
          </w:p>
        </w:tc>
      </w:tr>
      <w:tr w14:paraId="421FF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56C3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64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CD40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182072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202A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普通单面反光道钉</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E72AD">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普通单面反光道钉（高强度工程塑料基体100×90mm、高强耐磨型或工业塑料100×90mm）(2) 高强度工程塑料基体 、涂覆耐磨涂层微棱镜反光片(3) 不含拆除旧路标</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5953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A721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22.14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441C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740CE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7162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65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ED63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182073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B7CC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普通双面反光道钉</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56148">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普通双面反光道钉（铸铝100×100mm、高强耐磨型或工业塑料100×90mm、钻石级反光型）(2) 铝合金壳体、微棱镜反射体(3) 不含拆除旧路标</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7807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3FE6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30.76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8866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1F301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F945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66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7AE1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182074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89C0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普通双面反光道钉</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70369">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普通双面反光道钉（高强度工程塑料基体100×90mm、高强耐磨型或工业塑料100×90mm）(2) 高强度工程塑料基体 、涂覆耐磨涂层微棱镜反光片(3) 不含拆除旧路标</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C9F5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2CF0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29.28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ED57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39901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8D73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67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9B46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182075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BD79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太阳能单面反光道钉</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60F44">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尺寸：110×110mm(2) 铝合金及工程塑料壳体、微棱镜反射体(3) 不含拆除旧路标</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1CF4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89B0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33.10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B38D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4969E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6F81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68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F14C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182076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9E91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太阳能双面反光道钉</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9226D">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尺寸：110×117.6mm(2) 铝合金及工程塑料壳体、微棱镜反射体(3) 不含拆除旧路标</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B4CC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9507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44.82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53ED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265C3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FA73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69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A585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182077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DD79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剔除道钉</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00972">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不分类型</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1098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C923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5.83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D022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0D5B4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38B6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70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17AA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182078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1E60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梯形单面反光轮廓标</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B5DA2">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(1)梯形，包含钢支架、棱镜体反光体、热镀锌等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4A25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CF35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43.52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9543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35E74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CA75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71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CA27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182079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7700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梯形双面反光轮廓标</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D1CB0">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(1)包含钢支架、棱镜体反光体、 热镀锌等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4252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AF44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48.58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1BCD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7957E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D756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72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4F1D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182080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B667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长方形单面反光轮廓标</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EADE4">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(1)包含钢支架、棱镜体反光体、 热镀锌等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A721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5548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46.75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2EEE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71C60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C70F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73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D80C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182081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1C89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长方形双面反光轮廓标</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6D221">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(1)包含钢支架、棱镜体反光体、 热镀锌等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DC50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6989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55.58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44E7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5D41B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BC2F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74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AACA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182082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591B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圆形反光轮廓标（单面反光）</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67258">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Φ80-100mm(2) 底座、标体为不锈钢，连接件为TPU弹性塑料</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49E6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27C2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45.14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3650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594BB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0D2A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75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5AA7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182083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EC5E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圆形反光轮廓标（双面反光）</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B3EA1">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Φ80mm-100mm(2) 底座、标体为不锈钢，连接件为TPU弹性塑料</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A0C9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E797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43.52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D2F7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356B1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60A8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76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2C49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182084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E783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线性轮廓标</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DDE18">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(1)长度为83.8CM(2)铝基材(3)反光膜类型V类</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E9C1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226E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43.52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B8EE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7FCFD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3731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77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62D8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182085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8F5A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太阳能无线同闪轮廓标（单面发光）</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6DA0A">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(1)Φ100mm(2)可更换电池</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A3A1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811A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43.52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4E24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27E23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5A56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78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5B29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182086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8C3B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太阳能无线同闪轮廓标（双面发光）</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74933">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(1)Φ100mm(2)可更换电池</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0227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8A7B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91.77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44BF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按安装数量计</w:t>
            </w:r>
          </w:p>
        </w:tc>
      </w:tr>
      <w:tr w14:paraId="1AEAA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A498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79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4DB9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182087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3A5B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太阳能无线同闪轮廓标控制器</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A6F77">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型号：HLKBK(2) 太阳能供电(3) 控制范围800米以内(4) 不含立柱</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5C83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C97E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417.23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9C84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按安装数量计</w:t>
            </w:r>
          </w:p>
        </w:tc>
      </w:tr>
      <w:tr w14:paraId="47087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32F4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80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5C53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182088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C36B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立柱式轮廓标</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455AC">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(1)1050mmHDPE立柱(2)200mm底座</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CCE7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9365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49.75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6F5F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按安装数量计</w:t>
            </w:r>
          </w:p>
        </w:tc>
      </w:tr>
      <w:tr w14:paraId="1940E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A060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81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3592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182089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AC2D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太阳能爆闪灯</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DBA79">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(1)太阳能爆闪灯27×16×9</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4B63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9D25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149.83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6B89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按安装数量计</w:t>
            </w:r>
          </w:p>
        </w:tc>
      </w:tr>
      <w:tr w14:paraId="5D78C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3D45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82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0A30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182090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6D97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太阳能爆闪灯（单面）</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DCFDE">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(1)尺寸:540*160mm，采用进口led芯片，太阳能板瓦数6v/12w单晶硅 ，蓄电池 :采用耐高温铅酸免维护蓄电池6v/12AH,寿命＞2年，led灯珠 :每组20颗超亮红，蓝led，可视距离＞800m。 光控2种(2)反光膜类型IV类(3)单面闪光、红/蓝光(4)太阳能板与灯体一体长度一致、锂电池供电、背槽安装</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5412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528A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454.94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D3E5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按安装数量计</w:t>
            </w:r>
          </w:p>
        </w:tc>
      </w:tr>
      <w:tr w14:paraId="6ECCB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2F18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83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047A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182091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A188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太阳能爆闪灯（双面）</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519EA">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(1)尺寸:540*160mm，采用进口led芯片，太阳能板瓦数6v/12w单晶硅 ，蓄电池 :采用耐高温铅酸免维护蓄电池6v/12AH,寿命＞2年，led灯珠 :每组20颗超亮红，蓝led，可视距离＞800m。 光控2种(2)反光膜类型IV类(3)单面闪光、红/蓝光(4)太阳能板与灯体一体长度一致、锂电池供电、背槽安装</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53E3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0DD7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494.75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C93D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按安装数量计</w:t>
            </w:r>
          </w:p>
        </w:tc>
      </w:tr>
      <w:tr w14:paraId="3ADF6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top"/>
          </w:tcPr>
          <w:p w14:paraId="4116CEC5">
            <w:pPr>
              <w:jc w:val="left"/>
              <w:rPr>
                <w:rFonts w:hint="eastAsia" w:ascii="宋体" w:hAnsi="宋体" w:cs="宋体"/>
                <w:i w:val="0"/>
                <w:iCs w:val="0"/>
                <w:color w:val="000000"/>
                <w:sz w:val="18"/>
                <w:szCs w:val="18"/>
                <w:highlight w:val="none"/>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top"/>
          </w:tcPr>
          <w:p w14:paraId="3CC0303F">
            <w:pPr>
              <w:jc w:val="left"/>
              <w:rPr>
                <w:rFonts w:hint="eastAsia" w:ascii="宋体" w:hAnsi="宋体" w:cs="宋体"/>
                <w:i w:val="0"/>
                <w:iCs w:val="0"/>
                <w:color w:val="000000"/>
                <w:sz w:val="18"/>
                <w:szCs w:val="18"/>
                <w:highlight w:val="none"/>
                <w:u w:val="none"/>
              </w:rPr>
            </w:pPr>
          </w:p>
        </w:tc>
        <w:tc>
          <w:tcPr>
            <w:tcW w:w="47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D347A9">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302"/>
                <w:highlight w:val="none"/>
                <w:lang w:val="en-US" w:eastAsia="zh-CN" w:bidi="ar"/>
              </w:rPr>
              <w:t>(三)交通标志</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4358B">
            <w:pPr>
              <w:jc w:val="center"/>
              <w:rPr>
                <w:rFonts w:hint="eastAsia" w:ascii="宋体" w:hAnsi="宋体" w:eastAsia="宋体" w:cs="宋体"/>
                <w:i w:val="0"/>
                <w:iCs w:val="0"/>
                <w:color w:val="000000"/>
                <w:sz w:val="18"/>
                <w:szCs w:val="18"/>
                <w:highlight w:val="none"/>
                <w:u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top"/>
          </w:tcPr>
          <w:p w14:paraId="3EF9BC5D">
            <w:pPr>
              <w:jc w:val="left"/>
              <w:rPr>
                <w:rFonts w:hint="eastAsia" w:ascii="宋体" w:hAnsi="宋体" w:cs="宋体"/>
                <w:i w:val="0"/>
                <w:iCs w:val="0"/>
                <w:color w:val="000000"/>
                <w:sz w:val="18"/>
                <w:szCs w:val="18"/>
                <w:highlight w:val="none"/>
                <w:u w:val="none"/>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top"/>
          </w:tcPr>
          <w:p w14:paraId="514E6414">
            <w:pPr>
              <w:jc w:val="left"/>
              <w:rPr>
                <w:rFonts w:hint="eastAsia" w:ascii="宋体" w:hAnsi="宋体" w:cs="宋体"/>
                <w:i w:val="0"/>
                <w:iCs w:val="0"/>
                <w:color w:val="000000"/>
                <w:sz w:val="18"/>
                <w:szCs w:val="18"/>
                <w:highlight w:val="none"/>
                <w:u w:val="none"/>
              </w:rPr>
            </w:pPr>
          </w:p>
        </w:tc>
      </w:tr>
      <w:tr w14:paraId="33212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D222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84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77EA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183001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EA0E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反光标志牌膜制作（反光膜类型IV类）</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7C65C">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含底膜和字膜(2) 标牌为矩形</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46DA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4C04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294.99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B360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按底板实体外轮廓四方形面积计（单价已含修正系数）</w:t>
            </w:r>
          </w:p>
        </w:tc>
      </w:tr>
      <w:tr w14:paraId="7F96D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8EE5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85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24F8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183002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71A7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反光标志牌膜制作（反光膜类型V类）</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7EBB9">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含底膜和字膜(2) 标牌为矩形</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F520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D3DD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379.86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AF86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按底板实体外轮廓四方形面积计（单价已含修正系数）</w:t>
            </w:r>
          </w:p>
        </w:tc>
      </w:tr>
      <w:tr w14:paraId="69B41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DE2D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86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9D48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183003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3013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反光标志牌膜制作（反光膜类型IV类）</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A4F34">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含底膜和字膜(2) 标牌为八边以下形</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1F0B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F97D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264.47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BFAB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按底板实体外轮廓四方形面积计（单价已含修正系数）</w:t>
            </w:r>
          </w:p>
        </w:tc>
      </w:tr>
      <w:tr w14:paraId="4A7D2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04EC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87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1DDE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183004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D9CA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反光标志牌膜制作（反光膜类型V类）</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27462">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含底膜和字膜(2) 标牌为八边以下形</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CE4D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53F8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340.58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EDDC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按底板实体外轮廓四方形面积计（单价已含修正系数）</w:t>
            </w:r>
          </w:p>
        </w:tc>
      </w:tr>
      <w:tr w14:paraId="2B1E9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A277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88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A849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183005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FF94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反光标志牌膜制作（反光膜类型IV类）</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C38F3">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含底膜和字膜(2) 标牌为圆形和八边以上形</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AF12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BACA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276.67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078F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按底板实体外轮廓四方形面积计（单价已含修正系数）</w:t>
            </w:r>
          </w:p>
        </w:tc>
      </w:tr>
      <w:tr w14:paraId="0C48A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F6F6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89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6FC9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183006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AFA8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反光标志牌膜制作（反光膜类型V类）</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E3567">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含底膜和字膜(2) 标牌为圆形和八边以上形</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9745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D7A7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356.30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6C2C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按底板实体外轮廓四方形面积计（单价已含修正系数）</w:t>
            </w:r>
          </w:p>
        </w:tc>
      </w:tr>
      <w:tr w14:paraId="36EC7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E1AF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DFB4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183007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318F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反光标志牌膜制作（反光膜类型IV类 数码打印）</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B2EDE">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交通标准色(2) 含底膜和字膜(3) 以实际打印面积计</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A9D0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BD30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481.58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4392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按实际打印面积计</w:t>
            </w:r>
          </w:p>
        </w:tc>
      </w:tr>
      <w:tr w14:paraId="22C6E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C7C5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A6FA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183008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CD42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反光标志牌膜制作（反光膜类型IV类 数码打印）</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F2BF4">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非交通标准色(2) 含底膜和字膜(3) 以实际打印面积计</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80D1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B05B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558.36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05B8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按实际打印面积计</w:t>
            </w:r>
          </w:p>
        </w:tc>
      </w:tr>
      <w:tr w14:paraId="575F5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F29E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28DA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183009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CA5B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反光标志牌膜制作（反光膜类型V类 数码打印）</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8C524">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交通标准色(2) 含底膜和字膜(3) 以实际打印面积计</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50EE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4439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540.91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86B4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按实际打印面积计</w:t>
            </w:r>
          </w:p>
        </w:tc>
      </w:tr>
      <w:tr w14:paraId="5D8EF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26A2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B68D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183010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0AA2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反光标志牌膜制作（反光膜类型V类 数码打印）</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63DE7">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非交通标准色(2) 含底膜和字膜(3) 以实际打印面积计</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1EED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CD6C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617.68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376E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按实际打印面积计</w:t>
            </w:r>
          </w:p>
        </w:tc>
      </w:tr>
      <w:tr w14:paraId="209AE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AF79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F76E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183011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DF8E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修改局部牌面（小型标志）</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824E4">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反光膜类型IV类(2) 含拆、修改、运输、安装</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466D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E4CB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258.55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294A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按实际修改面积计</w:t>
            </w:r>
          </w:p>
        </w:tc>
      </w:tr>
      <w:tr w14:paraId="1CAE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1C90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AB3E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183012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55F7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修改局部牌面（大型双柱挤压板标志）</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3C220">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反光膜类型IV类(2) 含拆、修改、运输、安装</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C07E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AB66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310.17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D48A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按实际修改面积计</w:t>
            </w:r>
          </w:p>
        </w:tc>
      </w:tr>
      <w:tr w14:paraId="70DAA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E6AF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A6A3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183013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7131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修改局部牌面（小型标志）</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0D8E8">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反光膜类型V类(2) 含拆、修改、运输、安装</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7A78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948A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317.09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AB0F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按实际修改面积计</w:t>
            </w:r>
          </w:p>
        </w:tc>
      </w:tr>
      <w:tr w14:paraId="71F9C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CC5B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C175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183014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84E9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修改局部牌面（大型双柱挤压板标志）</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top"/>
          </w:tcPr>
          <w:p w14:paraId="53EDBA92">
            <w:pPr>
              <w:keepNext w:val="0"/>
              <w:keepLines w:val="0"/>
              <w:widowControl/>
              <w:suppressLineNumbers w:val="0"/>
              <w:jc w:val="left"/>
              <w:textAlignment w:val="top"/>
              <w:rPr>
                <w:rFonts w:hint="eastAsia" w:ascii="宋体" w:hAnsi="宋体" w:cs="宋体"/>
                <w:i w:val="0"/>
                <w:iCs w:val="0"/>
                <w:color w:val="000000"/>
                <w:sz w:val="18"/>
                <w:szCs w:val="18"/>
                <w:highlight w:val="none"/>
                <w:u w:val="none"/>
              </w:rPr>
            </w:pPr>
            <w:r>
              <w:rPr>
                <w:rStyle w:val="299"/>
                <w:highlight w:val="none"/>
                <w:lang w:val="en-US" w:eastAsia="zh-CN" w:bidi="ar"/>
              </w:rPr>
              <w:t>(1) 反光膜类型V类(2) 含拆、修改、运输、安装</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D608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BA06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368.71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C372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按实际修改面积计</w:t>
            </w:r>
          </w:p>
        </w:tc>
      </w:tr>
      <w:tr w14:paraId="3E2FE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6672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F031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183015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E3A4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清除交通标志牌板面反光膜</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F0F64">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各类型反光膜</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239A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68AA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15.63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3C43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按底板面积计</w:t>
            </w:r>
          </w:p>
        </w:tc>
      </w:tr>
      <w:tr w14:paraId="12FBB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DCBB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D74C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183016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9F6F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粘贴反光膜</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7B709">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反光膜类型IV类(2) 混凝土及其他板面粘贴</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E527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BA34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203.44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AA6C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按粘贴面积计</w:t>
            </w:r>
          </w:p>
        </w:tc>
      </w:tr>
      <w:tr w14:paraId="5E28C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B676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6E33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183017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2D02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大型标志牌局部遮盖</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43C0F">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含高空车等所有设备</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D6F7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9261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229.85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6079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按遮盖面积计</w:t>
            </w:r>
          </w:p>
        </w:tc>
      </w:tr>
      <w:tr w14:paraId="13B8B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49CC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974E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183018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0385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混凝土</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47F4D">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1.混凝土强度等级 :C202.适用范围 :标志牌基础垫层、包封</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EF03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r>
              <w:rPr>
                <w:rStyle w:val="303"/>
                <w:rFonts w:hint="eastAsia" w:ascii="宋体" w:hAnsi="宋体" w:eastAsia="宋体" w:cs="宋体"/>
                <w:sz w:val="18"/>
                <w:szCs w:val="18"/>
                <w:highlight w:val="none"/>
                <w:lang w:val="en-US" w:eastAsia="zh-CN" w:bidi="ar"/>
              </w:rPr>
              <w:t>³</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7801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424.04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0BF1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按基础设计体积计</w:t>
            </w:r>
          </w:p>
        </w:tc>
      </w:tr>
      <w:tr w14:paraId="61DC4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982C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0D07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183019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9513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混凝土</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141F8">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1.混凝土强度等级 :C302.适用范围 :标志牌基础</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CC3F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r>
              <w:rPr>
                <w:rStyle w:val="303"/>
                <w:rFonts w:hint="eastAsia" w:ascii="宋体" w:hAnsi="宋体" w:eastAsia="宋体" w:cs="宋体"/>
                <w:sz w:val="18"/>
                <w:szCs w:val="18"/>
                <w:highlight w:val="none"/>
                <w:lang w:val="en-US" w:eastAsia="zh-CN" w:bidi="ar"/>
              </w:rPr>
              <w:t>³</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FA9E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678.12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B953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按基础设计体积计</w:t>
            </w:r>
          </w:p>
        </w:tc>
      </w:tr>
      <w:tr w14:paraId="7A6CB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85C4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7AB5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183020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D6B3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基础模板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E87CC">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1.标志牌基础模板2.其他：详见图纸</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823B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7FF4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20.94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9543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按模板设计面积计</w:t>
            </w:r>
          </w:p>
        </w:tc>
      </w:tr>
      <w:tr w14:paraId="0FBD1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DF6E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8296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183021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B1CB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现浇构件钢筋</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E17EA">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1.钢筋种类 :圆钢(HPB300) φ8mm2.钢筋规格 :综合3.适用范围 :标志牌基础</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BA14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DA30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4610.47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7A8C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按设计质量计</w:t>
            </w:r>
          </w:p>
        </w:tc>
      </w:tr>
      <w:tr w14:paraId="693C2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3DD0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7AFD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183022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A351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现浇构件钢筋</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1D895">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1.钢筋种类 :螺纹钢Ⅲ级(HRB400) φ12mm2.钢筋规格 :综合3.适用范围 :标志牌基础</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1B6C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3D1D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4451.24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962AA">
            <w:pPr>
              <w:keepNext w:val="0"/>
              <w:keepLines w:val="0"/>
              <w:widowControl/>
              <w:suppressLineNumbers w:val="0"/>
              <w:ind w:firstLineChars="10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按设计质量计</w:t>
            </w:r>
          </w:p>
        </w:tc>
      </w:tr>
      <w:tr w14:paraId="194A5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B3B2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A077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183023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4A2E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预埋铁件</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FFF64">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1.材料种类 :角钢2.材料规格 :综合3.适用范围 :标志牌基础</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E2E3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4BFF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8574.29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2DF72">
            <w:pPr>
              <w:keepNext w:val="0"/>
              <w:keepLines w:val="0"/>
              <w:widowControl/>
              <w:suppressLineNumbers w:val="0"/>
              <w:ind w:firstLineChars="10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按设计质量计</w:t>
            </w:r>
          </w:p>
        </w:tc>
      </w:tr>
      <w:tr w14:paraId="77ED0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7918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DDC3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183024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4216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螺栓</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FA951">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1.材料种类 :地脚螺栓2.材料规格 :综合3.适用范围 :标志牌基础</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0229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AA4B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9413.02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70A41">
            <w:pPr>
              <w:keepNext w:val="0"/>
              <w:keepLines w:val="0"/>
              <w:widowControl/>
              <w:suppressLineNumbers w:val="0"/>
              <w:ind w:firstLineChars="10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按设计质量计</w:t>
            </w:r>
          </w:p>
        </w:tc>
      </w:tr>
      <w:tr w14:paraId="79A68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D16A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19C4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183025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063C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单标志杆 制作</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08BD5">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 :单柱标志杆3.226m2.材质 :无缝钢管、钢板3.规格尺寸 :管外径 D89×4.5</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6C6E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3708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698.61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E76BB">
            <w:pPr>
              <w:keepNext w:val="0"/>
              <w:keepLines w:val="0"/>
              <w:widowControl/>
              <w:suppressLineNumbers w:val="0"/>
              <w:ind w:firstLineChars="10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按安装数量计</w:t>
            </w:r>
          </w:p>
        </w:tc>
      </w:tr>
      <w:tr w14:paraId="4EDAD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1D1B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E5A2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183026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9417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单柱标志杆 钢管高度调差</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00422">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 :单柱标志杆2.材质 :无缝钢管3.规格尺寸 :管外径 D89×4.5</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24D9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EB5E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40.44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FB6BB">
            <w:pPr>
              <w:keepNext w:val="0"/>
              <w:keepLines w:val="0"/>
              <w:widowControl/>
              <w:suppressLineNumbers w:val="0"/>
              <w:ind w:firstLineChars="10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40792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D1CC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110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2BB9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183027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4869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单标志杆 制作</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477BA">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 :单柱标志杆4.72m2.材质 :无缝钢管、钢板3.规格尺寸 :管外径 D114×10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1873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8AE2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1091.72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F9F86">
            <w:pPr>
              <w:keepNext w:val="0"/>
              <w:keepLines w:val="0"/>
              <w:widowControl/>
              <w:suppressLineNumbers w:val="0"/>
              <w:ind w:firstLineChars="10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按安装数量计</w:t>
            </w:r>
          </w:p>
        </w:tc>
      </w:tr>
      <w:tr w14:paraId="726D7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C5FE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111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73AD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183028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9AF1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单柱标志杆 钢管高度调差</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25AFE">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 :单柱标志杆2.材质 :无缝钢管3.规格尺寸 :管外径 D114×10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462A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87F3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110.94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51B0F">
            <w:pPr>
              <w:keepNext w:val="0"/>
              <w:keepLines w:val="0"/>
              <w:widowControl/>
              <w:suppressLineNumbers w:val="0"/>
              <w:ind w:firstLineChars="10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5CC75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DCF2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112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3D93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183029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764B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双柱标志杆 制作</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256AE">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 :双柱标志杆2.材质 :槽钢、钢板3.适应范围 :双柱矩形（2×1.2m）标志</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33A7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5652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2331.22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EF241">
            <w:pPr>
              <w:keepNext w:val="0"/>
              <w:keepLines w:val="0"/>
              <w:widowControl/>
              <w:suppressLineNumbers w:val="0"/>
              <w:ind w:firstLineChars="10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按安装数量计</w:t>
            </w:r>
          </w:p>
        </w:tc>
      </w:tr>
      <w:tr w14:paraId="3CDA4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EBC1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113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0690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183030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F6A6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双柱标志杆 制作</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0F05E">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 :双柱标志杆2.材质 :槽钢、钢板3.适应范围 :双柱矩形（4×2.4m）标志</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2F05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78BA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4061.11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D8C9D">
            <w:pPr>
              <w:keepNext w:val="0"/>
              <w:keepLines w:val="0"/>
              <w:widowControl/>
              <w:suppressLineNumbers w:val="0"/>
              <w:ind w:firstLineChars="10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按安装数量计</w:t>
            </w:r>
          </w:p>
        </w:tc>
      </w:tr>
      <w:tr w14:paraId="75C25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FB2C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114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A31F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183031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3918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双柱标志杆 制作</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30F6F">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 :双柱标志杆2.材质 :槽钢、钢板3.适应范围 :双柱矩形（4×3m）标志</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EFB4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AE31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4284.30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7D4A4">
            <w:pPr>
              <w:keepNext w:val="0"/>
              <w:keepLines w:val="0"/>
              <w:widowControl/>
              <w:suppressLineNumbers w:val="0"/>
              <w:ind w:firstLineChars="10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按安装数量计</w:t>
            </w:r>
          </w:p>
        </w:tc>
      </w:tr>
      <w:tr w14:paraId="2F2AE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8ABD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115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DF9E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183032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CA21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双柱标志杆 制作</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19DF8">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 :双柱标志杆2.材质 :槽钢、钢板3.适应范围 :双柱矩形（3×4m）标志</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29F1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B2BD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4693.14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4B0EC">
            <w:pPr>
              <w:keepNext w:val="0"/>
              <w:keepLines w:val="0"/>
              <w:widowControl/>
              <w:suppressLineNumbers w:val="0"/>
              <w:ind w:firstLineChars="10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按安装数量计</w:t>
            </w:r>
          </w:p>
        </w:tc>
      </w:tr>
      <w:tr w14:paraId="4CCC3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9AD7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116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0388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183033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B6F4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F型标志杆 制作</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86359">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1.类型:F型标志杆2.材质 :钢管、钢板3.适应范围:F型（4×2.4m）标志</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5ABB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45E5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6775.14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F81CF">
            <w:pPr>
              <w:keepNext w:val="0"/>
              <w:keepLines w:val="0"/>
              <w:widowControl/>
              <w:suppressLineNumbers w:val="0"/>
              <w:ind w:firstLineChars="10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按安装数量计</w:t>
            </w:r>
          </w:p>
        </w:tc>
      </w:tr>
      <w:tr w14:paraId="2DCC4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6021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117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8309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183034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7AAC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F型标志杆 制作</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C68A7">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1.类型:F型标志杆2.材质 :钢管、钢板3.适应范围:F型（3.2×2m）标志</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DF81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B1C9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6575.81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84802">
            <w:pPr>
              <w:keepNext w:val="0"/>
              <w:keepLines w:val="0"/>
              <w:widowControl/>
              <w:suppressLineNumbers w:val="0"/>
              <w:ind w:firstLineChars="10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按安装数量计</w:t>
            </w:r>
          </w:p>
        </w:tc>
      </w:tr>
      <w:tr w14:paraId="28835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B5A2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118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2063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183035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29B6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T型标志杆 制作</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D1EE3">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1.类型:T型标志杆2.材质 :钢管、钢板3.适应范围:T型（4×2.4m×2）标志</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5482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4D30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9591.88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B595B">
            <w:pPr>
              <w:keepNext w:val="0"/>
              <w:keepLines w:val="0"/>
              <w:widowControl/>
              <w:suppressLineNumbers w:val="0"/>
              <w:ind w:firstLineChars="10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按安装数量计</w:t>
            </w:r>
          </w:p>
        </w:tc>
      </w:tr>
      <w:tr w14:paraId="0C2B0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0CE1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119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174D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183036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5E08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T型标志杆 制作</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F2D7D">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1.类型:T型标志杆2.材质 :钢管、钢板3.适应范围:T型（3.2×2m×2）标志</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9B3A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C9C1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9071.59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279E7">
            <w:pPr>
              <w:keepNext w:val="0"/>
              <w:keepLines w:val="0"/>
              <w:widowControl/>
              <w:suppressLineNumbers w:val="0"/>
              <w:ind w:firstLineChars="10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按安装数量计</w:t>
            </w:r>
          </w:p>
        </w:tc>
      </w:tr>
      <w:tr w14:paraId="42044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0159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120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05E6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183037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0347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L型标志杆 制作</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42DEBDD">
            <w:pPr>
              <w:keepNext w:val="0"/>
              <w:keepLines w:val="0"/>
              <w:widowControl/>
              <w:suppressLineNumbers w:val="0"/>
              <w:jc w:val="left"/>
              <w:textAlignment w:val="bottom"/>
              <w:rPr>
                <w:rFonts w:hint="eastAsia" w:ascii="宋体" w:hAnsi="宋体" w:cs="宋体"/>
                <w:i w:val="0"/>
                <w:iCs w:val="0"/>
                <w:color w:val="000000"/>
                <w:sz w:val="18"/>
                <w:szCs w:val="18"/>
                <w:highlight w:val="none"/>
                <w:u w:val="none"/>
              </w:rPr>
            </w:pPr>
            <w:r>
              <w:rPr>
                <w:rStyle w:val="299"/>
                <w:highlight w:val="none"/>
                <w:lang w:val="en-US" w:eastAsia="zh-CN" w:bidi="ar"/>
              </w:rPr>
              <w:t>1.类型:L型标志杆2.材质 :钢板3.适应范围:L型（4×2.4m，L=6m）标志</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9DD5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99D6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10234.22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B3B23">
            <w:pPr>
              <w:keepNext w:val="0"/>
              <w:keepLines w:val="0"/>
              <w:widowControl/>
              <w:suppressLineNumbers w:val="0"/>
              <w:ind w:firstLineChars="10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按安装数量计</w:t>
            </w:r>
          </w:p>
        </w:tc>
      </w:tr>
      <w:tr w14:paraId="7DCA6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7FA7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121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D62D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183038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42AB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L型标志杆 制作</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B1BF5">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1.类型:L型标志杆2.材质 :钢板3.适应范围:L型（3.2×2m，L=6m）标志</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541E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522D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10130.62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54B94">
            <w:pPr>
              <w:keepNext w:val="0"/>
              <w:keepLines w:val="0"/>
              <w:widowControl/>
              <w:suppressLineNumbers w:val="0"/>
              <w:ind w:firstLineChars="10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按制作数量计</w:t>
            </w:r>
          </w:p>
        </w:tc>
      </w:tr>
      <w:tr w14:paraId="28279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C9AD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122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D8AC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183039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7E9C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L型标志杆 制作</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88B20">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1.类型:L型标志杆2.材质 :钢板3.适应范围:L型（4×2.4m×2L=10m）标志</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AA12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D9AA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13876.34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2ADA9">
            <w:pPr>
              <w:keepNext w:val="0"/>
              <w:keepLines w:val="0"/>
              <w:widowControl/>
              <w:suppressLineNumbers w:val="0"/>
              <w:ind w:firstLineChars="10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按制作数量计</w:t>
            </w:r>
          </w:p>
        </w:tc>
      </w:tr>
      <w:tr w14:paraId="7A4B5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4B0D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123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76AB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183040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4051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L型标志杆 制作</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03C15">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1.类型:L型标志杆2.材质 :钢板3.适应范围:L型（3.2×2m×2，L=10m）标志</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4E40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2815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13762.39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7A010">
            <w:pPr>
              <w:keepNext w:val="0"/>
              <w:keepLines w:val="0"/>
              <w:widowControl/>
              <w:suppressLineNumbers w:val="0"/>
              <w:ind w:firstLineChars="10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按制作数量计</w:t>
            </w:r>
          </w:p>
        </w:tc>
      </w:tr>
      <w:tr w14:paraId="4FEB9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DF92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124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75B8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183041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6DFA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路名牌标志杆制作（铝合金管）</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25C6B">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铝合金(氧化)立柱D76×5.5×2350mm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29F6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4A28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835.47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8897B">
            <w:pPr>
              <w:keepNext w:val="0"/>
              <w:keepLines w:val="0"/>
              <w:widowControl/>
              <w:suppressLineNumbers w:val="0"/>
              <w:ind w:firstLineChars="10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按制作数量计</w:t>
            </w:r>
          </w:p>
        </w:tc>
      </w:tr>
      <w:tr w14:paraId="06293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1CE5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125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4B01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183042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024C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路名牌标志杆 制作（铝合金管）</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563D3">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1.铝合金(氧化)立柱D76×2629×6mm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74DB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C260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911.09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AF167">
            <w:pPr>
              <w:keepNext w:val="0"/>
              <w:keepLines w:val="0"/>
              <w:widowControl/>
              <w:suppressLineNumbers w:val="0"/>
              <w:ind w:firstLineChars="10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按制作数量计</w:t>
            </w:r>
          </w:p>
        </w:tc>
      </w:tr>
      <w:tr w14:paraId="37480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958F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126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422D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183043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D8F3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路名牌标志杆 制作（铝合金管）</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8C721">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1.铝合金(氧化)立柱D76×3370×6mm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90F3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75DA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1029.09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CBA34">
            <w:pPr>
              <w:keepNext w:val="0"/>
              <w:keepLines w:val="0"/>
              <w:widowControl/>
              <w:suppressLineNumbers w:val="0"/>
              <w:ind w:firstLineChars="10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按制作数量计</w:t>
            </w:r>
          </w:p>
        </w:tc>
      </w:tr>
      <w:tr w14:paraId="71C7C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FC6B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127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96F2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183044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9791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方向指引I型标志杆 制作（铝合金管）</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C4919">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1.铝合金(氧化)立柱D76×3460×6mm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CCE6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F3E1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1063.04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DD60C">
            <w:pPr>
              <w:keepNext w:val="0"/>
              <w:keepLines w:val="0"/>
              <w:widowControl/>
              <w:suppressLineNumbers w:val="0"/>
              <w:ind w:firstLineChars="10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按制作数量计</w:t>
            </w:r>
          </w:p>
        </w:tc>
      </w:tr>
      <w:tr w14:paraId="2DA09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B427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128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5505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183045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1D72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路名牌铝合金法兰盘及加劲肋制作、安装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4A811">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1.铝合金法兰盘及加劲肋制作安装</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123D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C270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23242.56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F736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按制作质量计</w:t>
            </w:r>
          </w:p>
        </w:tc>
      </w:tr>
      <w:tr w14:paraId="71202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F1BD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129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15AA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183046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603E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单标志杆 安装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AB9AE">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 :单柱标志杆3.226m2.材质 :无缝钢管、钢板3.规格尺寸 :管外径 D89×4.5</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8630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FF62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256.15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1360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按制作数量计</w:t>
            </w:r>
          </w:p>
        </w:tc>
      </w:tr>
      <w:tr w14:paraId="4CC9A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80E9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130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63A6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183047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F8FD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单标志杆 安装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824DE">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 :单柱标志杆4.72m2.材质 :无缝钢管、钢板3.规格尺寸 :管外径 D114×10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2B89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96CB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256.15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29DF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按制作数量计</w:t>
            </w:r>
          </w:p>
        </w:tc>
      </w:tr>
      <w:tr w14:paraId="1638E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EDB5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131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4AF7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183048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B9D1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双柱标志杆 安装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9BB71">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 :双柱标志杆2.材质 :槽钢、钢板3.适应范围 :双柱矩形（2×1.2m）标志</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507C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70ED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625.77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EDF0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按制作数量计</w:t>
            </w:r>
          </w:p>
        </w:tc>
      </w:tr>
      <w:tr w14:paraId="446E4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520C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132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C48D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183049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DEE5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双柱标志杆 安装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7504E">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 :双柱标志杆2.材质 :槽钢、钢板3.适应范围 :双柱矩形（4×2.4m）标志</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0B32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DE66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625.77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1C9F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按制作数量计</w:t>
            </w:r>
          </w:p>
        </w:tc>
      </w:tr>
      <w:tr w14:paraId="416FA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4FED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133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68EE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183050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C1CD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双柱标志杆 安装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08656">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 :双柱标志杆2.材质 :槽钢、钢板3.适应范围 :双柱矩形（4×3m）标志</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EFFA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9468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625.77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3CCE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按制作数量计</w:t>
            </w:r>
          </w:p>
        </w:tc>
      </w:tr>
      <w:tr w14:paraId="465A7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BD0E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134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44BB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183051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1A0A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双柱标志杆  安装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04AC0">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 :双柱标志杆2.材质 :槽钢、钢板3.适应范围 :双柱矩形（3×4m）标志</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F881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B4D2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625.77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0AD8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按制作数量计</w:t>
            </w:r>
          </w:p>
        </w:tc>
      </w:tr>
      <w:tr w14:paraId="73E18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73BD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135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781B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183052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64F0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F型标志杆 安装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CB3BE">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1.类型:F型标志杆2.材质 :钢管、钢板3.适应范围:F型（4×2.4m）标志</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B81A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B148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1198.17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3FFD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按制作数量计</w:t>
            </w:r>
          </w:p>
        </w:tc>
      </w:tr>
      <w:tr w14:paraId="3E8F6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0D5A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136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6F96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183053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5374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F型标志杆 安装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5F269">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1.类型:F型标志杆2.材质 :钢管、钢板3.适应范围:F型（3.2×2m）标志</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BEDC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2E4B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1198.17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0F61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按制作数量计</w:t>
            </w:r>
          </w:p>
        </w:tc>
      </w:tr>
      <w:tr w14:paraId="2CA19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0157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137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538C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183054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6010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T型标志杆 安装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03532">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1.类型:T型标志杆2.材质 :钢管、钢板3.适应范围:T型（4×2.4m×2）标志</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3726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8589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1436.28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0143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按制作数量计</w:t>
            </w:r>
          </w:p>
        </w:tc>
      </w:tr>
      <w:tr w14:paraId="06DA0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BB1A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138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88C5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183055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5E9E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T型标志杆 安装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9746D">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1.类型:T型标志杆2.材质 :钢管、钢板3.适应范围:T型（3.2×2m×2）标志</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BE6D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4170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1436.28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BE4C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按制作数量计</w:t>
            </w:r>
          </w:p>
        </w:tc>
      </w:tr>
      <w:tr w14:paraId="15CA4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D32D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139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AFFC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183056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5D39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L型标志杆 安装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60857">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1.类型:L型标志杆2.材质 :钢板3.适应范围:L型（4×2.4m，L=6m）标志</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31FC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435E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1198.17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1853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按制作数量计</w:t>
            </w:r>
          </w:p>
        </w:tc>
      </w:tr>
      <w:tr w14:paraId="6FB6F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EC2F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140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DCC2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183057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8D46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L型标志杆 安装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3A957">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1.类型:L型标志杆2.材质 :钢板3.适应范围:L型（3.2×2m，L=6m）标志</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0D8A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0724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1198.17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A517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按制作数量计</w:t>
            </w:r>
          </w:p>
        </w:tc>
      </w:tr>
      <w:tr w14:paraId="0F883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259F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141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6DCE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183058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87A9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L型标志杆 安装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19272">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1.类型:L型标志杆2.材质 :钢板3.适应范围:L型（4×2.4m×2，L=10m）标志</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E134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7529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1198.17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6EB9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按制作数量计</w:t>
            </w:r>
          </w:p>
        </w:tc>
      </w:tr>
      <w:tr w14:paraId="4D1D5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29D9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142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204B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183059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D1BF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L型标志杆 安装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71C35">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1.类型:L型标志杆2.材质 :钢板3.适应范围:L型（3.2×2m×2，L=10m）标志</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E890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AE2F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1198.17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04A3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按制作数量计</w:t>
            </w:r>
          </w:p>
        </w:tc>
      </w:tr>
      <w:tr w14:paraId="15271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5EEF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143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6ACB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183060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7D73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路名牌标志杆 安装（铝合金管）</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E6110">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1.铝合金(氧化)立柱D76×2629×6mm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3697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A337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256.15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75C7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按制作数量计</w:t>
            </w:r>
          </w:p>
        </w:tc>
      </w:tr>
      <w:tr w14:paraId="29E89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B466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144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1115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183061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55A6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路名牌标志杆 安装（铝合金管）</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885C5">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1.铝合金(氧化)立柱D76×3370×6mm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50B4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5086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256.15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5211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按制作数量计</w:t>
            </w:r>
          </w:p>
        </w:tc>
      </w:tr>
      <w:tr w14:paraId="39EE3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F601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145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8CD7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183062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67A5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方向指引I型标志杆 安装（铝合金管）</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BEA3F">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1.铝合金(氧化)立柱D76×3460×6mm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2D18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6363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256.15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2698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按制作数量计</w:t>
            </w:r>
          </w:p>
        </w:tc>
      </w:tr>
      <w:tr w14:paraId="64FBC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1FE1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146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B473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183063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ABE5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附着式路名牌(卡式)</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top"/>
          </w:tcPr>
          <w:p w14:paraId="24713594">
            <w:pPr>
              <w:keepNext w:val="0"/>
              <w:keepLines w:val="0"/>
              <w:widowControl/>
              <w:suppressLineNumbers w:val="0"/>
              <w:jc w:val="left"/>
              <w:textAlignment w:val="top"/>
              <w:rPr>
                <w:rFonts w:hint="eastAsia" w:ascii="宋体" w:hAnsi="宋体" w:cs="宋体"/>
                <w:i w:val="0"/>
                <w:iCs w:val="0"/>
                <w:color w:val="000000"/>
                <w:sz w:val="18"/>
                <w:szCs w:val="18"/>
                <w:highlight w:val="none"/>
                <w:u w:val="none"/>
              </w:rPr>
            </w:pPr>
            <w:r>
              <w:rPr>
                <w:rStyle w:val="299"/>
                <w:highlight w:val="none"/>
                <w:lang w:val="en-US" w:eastAsia="zh-CN" w:bidi="ar"/>
              </w:rPr>
              <w:t>(1) 铝合金标志板1280x360x4mm(2) 铝合金抱箍连接(3) 含螺栓，不含膜</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112B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CF30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235.03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7E7B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38322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A021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147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95FA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183064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09D6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路名牌铝合金板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C942E">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铝合金标志板1200×360×8mm制作安装(2)不含反光膜</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2FF4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CBCD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385.69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3592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按制作数量计</w:t>
            </w:r>
          </w:p>
        </w:tc>
      </w:tr>
      <w:tr w14:paraId="46743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511D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148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D795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183065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4B21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铝合金法兰盘及加劲肋</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21827">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铝合金法兰盘及加劲肋制作安装</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B1C0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6527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23242.56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22AC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按制作质量计</w:t>
            </w:r>
          </w:p>
        </w:tc>
      </w:tr>
      <w:tr w14:paraId="25D2E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2325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149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AE92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183066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C52E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单柱五角指路标志标志杆制作（铝合金管）</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B6A4C">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铝合金(氧化)立柱D76×5.5×2606mm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2CB0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F595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872.83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0A47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按制作数量计</w:t>
            </w:r>
          </w:p>
        </w:tc>
      </w:tr>
      <w:tr w14:paraId="52962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15AB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4D12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183067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9E11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五角指路标志牌铝合金板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6C699">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铝合金标志板1300×400×40×4mm制作安装(2)不含反光膜</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D2AB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3B18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749.05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9E65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按制作数量计</w:t>
            </w:r>
          </w:p>
        </w:tc>
      </w:tr>
      <w:tr w14:paraId="67714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15D3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8282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183068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F45F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路名牌铝合金板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17FD5">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1.铝合金标志板1300×400×9mm制作安装2.不含反光膜3.含运输，含高空作业车</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A8B1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98DA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669.75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C027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按制作数量计</w:t>
            </w:r>
          </w:p>
        </w:tc>
      </w:tr>
      <w:tr w14:paraId="7ECEA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BEF7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DD27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183069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86D7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周边指引II型标志杆 制作、安装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8115E">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1.类型:150×30×5×2670mm扁钢，150×30×5×740mm扁钢，40×40×3×740mm方钢标志杆</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A4D4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307D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5573.90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069F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按制作质量计</w:t>
            </w:r>
          </w:p>
        </w:tc>
      </w:tr>
      <w:tr w14:paraId="21449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D1E5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65C8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183070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6C83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周边指引III型标志杆 制作、安装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EBC2C">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1.类型:150×30×5×2670mm扁钢，150×30×5×740mm扁钢，40×40×3×740mm方钢标志杆</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AB38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EBD0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5336.33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5668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按制作质量计</w:t>
            </w:r>
          </w:p>
        </w:tc>
      </w:tr>
      <w:tr w14:paraId="6DE9D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4E1B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64BE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183071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EE01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限高架 制作、安装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D0BC3">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 :限高架2.材质 :钢管</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D25A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9829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9294.32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A74B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按运输质量计</w:t>
            </w:r>
          </w:p>
        </w:tc>
      </w:tr>
      <w:tr w14:paraId="52482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13A1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1729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183072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7EB2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门架型标志制作</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1C56A">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1.含采购、加工制作、运输、保管2.不含镀锌、油漆、安装</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401B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FA1B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7099.80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B193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按运输质量计</w:t>
            </w:r>
          </w:p>
        </w:tc>
      </w:tr>
      <w:tr w14:paraId="2965E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9C10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AD92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183073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E5C4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门架型标志安装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87184">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1.类型 :门架型标志2.跨径 :综合</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E63A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41EB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4275.09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066B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按安装数量计</w:t>
            </w:r>
          </w:p>
        </w:tc>
      </w:tr>
      <w:tr w14:paraId="06FCB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0D71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3734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183074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3B92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标牌支架及零星构件制作</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2F147">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1.含采购、加工制作、运输、保管2.不含镀锌、油漆、安装</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A182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911D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11163.86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867E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按运输质量计</w:t>
            </w:r>
          </w:p>
        </w:tc>
      </w:tr>
      <w:tr w14:paraId="59B67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8B6E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2378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183075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5556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钢结构运输1km（构件6m以内）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F47F2">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1.运距1km2.含装卸</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54F0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3FBB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94.62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A9F8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按构件重量计</w:t>
            </w:r>
          </w:p>
        </w:tc>
      </w:tr>
      <w:tr w14:paraId="1D350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46B2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BEED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183076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F243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钢结构每增运1km（构件6m以内）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5FD9A">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1.每增运1km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B48A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D7F9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5.78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FACD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按标志杆重量计</w:t>
            </w:r>
          </w:p>
        </w:tc>
      </w:tr>
      <w:tr w14:paraId="367A5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00A0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160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E320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183077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89EF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钢结构运输1km（构件6m以上）</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F12DC">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1.运距1km2.含装卸</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4D2F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B03E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90.36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97C0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按构件重量计</w:t>
            </w:r>
          </w:p>
        </w:tc>
      </w:tr>
      <w:tr w14:paraId="153F8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0880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161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C727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183078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A332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钢结构每增运1km（构件6m以上）</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B064F">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1.每增运1km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B15E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1B73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3.87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3471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按构件重量计</w:t>
            </w:r>
          </w:p>
        </w:tc>
      </w:tr>
      <w:tr w14:paraId="577A8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A040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162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259C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183079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0E7C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钢结构镀锌</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9B135">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1.部位 :标志牌钢结构部件</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C232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3AE6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2037.12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33D4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按构件重量计</w:t>
            </w:r>
          </w:p>
        </w:tc>
      </w:tr>
      <w:tr w14:paraId="6E132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328E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163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FA6E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183080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76DE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标志板安装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C6FEC">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1.材质、规格尺寸 :标志牌面积S（㎡）  S≤12.板面反光膜等级 :超强级及以上3.其他：含高空作业车</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E47F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9A53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706.64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808F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按底板面积计</w:t>
            </w:r>
          </w:p>
        </w:tc>
      </w:tr>
      <w:tr w14:paraId="41842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852B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164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43DA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183081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933F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标志板安装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C0268">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1.材质、规格尺寸 :标志牌面积S（㎡）  1＜S≤62.板面反光膜等级 :超强级及以上3.其他：含高空作业车</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2B8A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175C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565.41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E412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按底板面积计</w:t>
            </w:r>
          </w:p>
        </w:tc>
      </w:tr>
      <w:tr w14:paraId="19DF2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E7CF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165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B5CA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183082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F072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标志板安装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430AF">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1.材质、规格尺寸 :标志牌面积S（㎡）  6＜S≤122.板面反光膜等级 :超强级及以上3.其他：含高空作业车</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8C43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CB91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619.94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7CFA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按底板面积计</w:t>
            </w:r>
          </w:p>
        </w:tc>
      </w:tr>
      <w:tr w14:paraId="7D15E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BBB4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166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BAAF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183083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1D64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标志板安装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3CEF7">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1.材质、规格尺寸 :标志牌面积S（㎡）  12＜S≤202.板面反光膜等级 :超强级及以上3.其他：含高空作业车</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B82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FECA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592.94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C66E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按底板面积计</w:t>
            </w:r>
          </w:p>
        </w:tc>
      </w:tr>
      <w:tr w14:paraId="1018A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DC30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167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A36E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183084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247A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拆除小型标志牌(三角形标志牌)</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D1992">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(1)保护性拆除(2)拆除、装车、现场清理、运输、高空作业车等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922D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6119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17.66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F847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按安装数量计</w:t>
            </w:r>
          </w:p>
        </w:tc>
      </w:tr>
      <w:tr w14:paraId="37DFE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CEF0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168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16E9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183085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9334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拆除小型标志牌(圆形、八角形及其他标志牌)</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A8338">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(1)保护性拆除(2)拆除、装车、现场清理、运输、高空作业车等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78AA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C283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18.17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629C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按安装数量计</w:t>
            </w:r>
          </w:p>
        </w:tc>
      </w:tr>
      <w:tr w14:paraId="4E870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CDE7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169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F501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183086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A95B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拆除大型标志牌(Y形杆箭头标)</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E3099">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(1)保护性拆除(2)拆除、装车、现场清理、运输、高空作业车等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2C3D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4394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81.24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912C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按安装数量计</w:t>
            </w:r>
          </w:p>
        </w:tc>
      </w:tr>
      <w:tr w14:paraId="389A6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C019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170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AB3D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183087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B436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拆除大型标志牌(双柱挤压板)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33B5E">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(1)保护性拆除(2)拆除、装车、现场清理、运输、高空作业车等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3230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C4B7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237.50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82EF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按安装数量计</w:t>
            </w:r>
          </w:p>
        </w:tc>
      </w:tr>
      <w:tr w14:paraId="3F6C2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8284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171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1A28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183088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72D5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拆除大型标志牌（L杆、T杆挤压板）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EB03E">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(1)保护性拆除(2)拆除、装车、现场清理、运输、高空作业车等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CF86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8A14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243.03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7759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按安装数量计</w:t>
            </w:r>
          </w:p>
        </w:tc>
      </w:tr>
      <w:tr w14:paraId="2FCAB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E6C3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172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5497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183089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3670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拆除大型标志牌（F杆挤压板）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02C64">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(1)保护性拆除(2)拆除、装车、现场清理、运输、高空作业车等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31DD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D826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265.01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DF6B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按安装数量计</w:t>
            </w:r>
          </w:p>
        </w:tc>
      </w:tr>
      <w:tr w14:paraId="0AC24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EC91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173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61EF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183090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9CFC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拆除大型标志牌（普通门架上挤压标志牌）</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5882D">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(1)保护性拆除(2)拆除、装车、现场清理、运输、高空作业车等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3B6E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5FEA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132.31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9B42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按安装数量计</w:t>
            </w:r>
          </w:p>
        </w:tc>
      </w:tr>
      <w:tr w14:paraId="41C1B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A226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174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7F1E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183091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111D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拆除大型标志牌（大型龙门架上挤压型标志牌）</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65DC2">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(1)保护性拆除(2)拆除、装车、现场清理、运输、高空作业车等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BBC2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522E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135.52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9BF6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按安装数量计</w:t>
            </w:r>
          </w:p>
        </w:tc>
      </w:tr>
      <w:tr w14:paraId="5DA18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3419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175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C02B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183092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103B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拆除单柱标杆</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71C05">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(1)保护性拆除(2)拆除、装车、现场清理、运输(3)不含基础及路面恢复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2AC0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9115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52.35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E08C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按安装数量计</w:t>
            </w:r>
          </w:p>
        </w:tc>
      </w:tr>
      <w:tr w14:paraId="7467F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E254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176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CD9C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183093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F777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拆除中小型双柱标杆</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B26AD">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(1)保护性拆除(2)拆除、装车、现场清理、运输(3)不含基础及路面恢复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C375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5CB8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75.25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E937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按安装数量计</w:t>
            </w:r>
          </w:p>
        </w:tc>
      </w:tr>
      <w:tr w14:paraId="50FB4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8C86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177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5220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183094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B108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拆除大型双柱标志杆</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04339">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(1)保护性拆除(2)拆除、装车、现场清理、运输(3)不含基础及路面恢复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1687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4993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205.00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9C8F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按拆除数量计</w:t>
            </w:r>
          </w:p>
        </w:tc>
      </w:tr>
      <w:tr w14:paraId="6CDA3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81DC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178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B552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183095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2A4C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拆除Y型标志杆</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65D75">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(1)保护性拆除(2)拆除、装车、现场清理、运输(3)不含基础及路面恢复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5440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996E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264.31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CC8A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按拆除数量计</w:t>
            </w:r>
          </w:p>
        </w:tc>
      </w:tr>
      <w:tr w14:paraId="46443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3AE5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179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0E0A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183096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E63F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拆除F型标志杆</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6DAC3">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(1)保护性拆除(2)拆除、装车、现场清理、运输(3)不含基础及路面恢复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6541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87EA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314.50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E48A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按拆除数量计</w:t>
            </w:r>
          </w:p>
        </w:tc>
      </w:tr>
      <w:tr w14:paraId="02A47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E6D6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909B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183097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DFA6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拆除T型标志杆</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9EE1C">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(1)保护性拆除(2)拆除、装车、现场清理、运输(3)不含基础及路面恢复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8384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50E9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352.92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4D90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按拆除数量计</w:t>
            </w:r>
          </w:p>
        </w:tc>
      </w:tr>
      <w:tr w14:paraId="2218C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B6FD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DD7A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183098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F139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拆除L型标志杆</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EF15D">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(1)保护性拆除(2)拆除、装车、现场清理、运输(3)不含基础及路面恢复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FF7A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2F1F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414.90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20F0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按拆除数量计</w:t>
            </w:r>
          </w:p>
        </w:tc>
      </w:tr>
      <w:tr w14:paraId="44D9D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BAFC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5491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183099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1626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拆除整梁式及两边柱头加大式门架</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DF4CC">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(1)跨径=14-18m(2)保护性拆除(3)拆除、装车、现场清理、运输、高空作业车等(4)不含基础及路面恢复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3E97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05E6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2815.85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B8F0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按拆除数量计</w:t>
            </w:r>
          </w:p>
        </w:tc>
      </w:tr>
      <w:tr w14:paraId="1448F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CC62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3B04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183100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79B7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拆除中间法兰式门架</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4FE8B">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(1)跨径=22-32m(2)保护性拆除(3)拆除、装车、现场清理、运输、高空作业车等(4)不含基础及路面恢复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2F44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8FCE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3863.13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5C0D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按拆除数量计</w:t>
            </w:r>
          </w:p>
        </w:tc>
      </w:tr>
      <w:tr w14:paraId="1C1C0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10F8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FB9A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183101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3F9C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拆除两边悬臂式门架（跨径L=3-9-3m）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CEA8D">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(1)跨径L=3-9-3m(2)保护性拆除(3)拆除、装车、现场清理、运输、高空作业车等(4)不含基础及路面恢复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BEAF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02AE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2824.79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33F3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按拆除数量计</w:t>
            </w:r>
          </w:p>
        </w:tc>
      </w:tr>
      <w:tr w14:paraId="6D1AC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692B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C781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183102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611E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拆除两边悬臂式门架（跨径L=7-20-7m）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B515E">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(1)跨径L=7-20-7m(2)保护性拆除(3)拆除、装车、现场清理、运输、高空作业车等(4)不含基础及路面恢复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4FEA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5ABF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3835.00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0D11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按拆除数量计</w:t>
            </w:r>
          </w:p>
        </w:tc>
      </w:tr>
      <w:tr w14:paraId="2C378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3E30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AB13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183103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8BBA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拆除大型龙门架</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82645">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(1)跨径=14-22m(2)保护性拆除(3)拆除、装车、现场清理、运输、高空作业车等(4)不含基础及路面恢复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75E9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2923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4209.64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0B95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按拆除数量计</w:t>
            </w:r>
          </w:p>
        </w:tc>
      </w:tr>
      <w:tr w14:paraId="2F73F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F8ED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FAFA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183104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4A0F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拆除小型标志牌(三角形标志牌)</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F94AB">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(1)破坏性拆除(2)材料残值应根据回收主体或市场行情另行确定(3)拆除、装车、现场清理、运输、高空作业车等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BE4D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C2F4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8.88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EB87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按拆除数量计</w:t>
            </w:r>
          </w:p>
        </w:tc>
      </w:tr>
      <w:tr w14:paraId="52B4C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22EE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BA87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183105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405B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拆除小型标志牌(圆形、八角形及其他标志牌)</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7B246">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(1)破坏性拆除(2)材料残值应根据回收主体或市场行情另行确定(3)拆除、装车、现场清理、运输、高空作业车等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0090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9FB3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9.10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35BA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按拆除数量计</w:t>
            </w:r>
          </w:p>
        </w:tc>
      </w:tr>
      <w:tr w14:paraId="3EBEE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28EE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658B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183106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BE07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拆除大型标志牌(Y形杆箭头标)</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BA47A">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(1)破坏性拆除(2)材料残值应根据回收主体或市场行情另行确定(3)拆除、装车、现场清理、运输、高空作业车等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D4F9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6557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42.17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B657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按拆除数量计</w:t>
            </w:r>
          </w:p>
        </w:tc>
      </w:tr>
      <w:tr w14:paraId="5F203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741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190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37EF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183107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4714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拆除大型标志牌(双柱挤压板)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0C908">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(1)破坏性拆除(2)材料残值应根据回收主体或市场行情另行确定(3)拆除、装车、现场清理、运输、高空作业车等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CF2E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BA41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113.22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DC34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按拆除数量计</w:t>
            </w:r>
          </w:p>
        </w:tc>
      </w:tr>
      <w:tr w14:paraId="6A39A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DE5F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191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3B3E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183108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7F2C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拆除大型标志牌（L杆、T杆挤压板）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5772F">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(1)破坏性拆除(2)材料残值应根据回收主体或市场行情另行确定(3)拆除、装车、现场清理、运输、高空作业车等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A824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E8A0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118.76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AC5F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按拆除数量计</w:t>
            </w:r>
          </w:p>
        </w:tc>
      </w:tr>
      <w:tr w14:paraId="35883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1407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192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624C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183109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962A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拆除大型标志牌（F杆挤压板）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3BBD8">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(1)破坏性拆除(2)材料残值应根据回收主体或市场行情另行确定(3)拆除、装车、现场清理、运输、高空作业车等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1FEE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1BF8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128.17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7A58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按拆除数量计</w:t>
            </w:r>
          </w:p>
        </w:tc>
      </w:tr>
      <w:tr w14:paraId="0AF18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CC5D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193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8C96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183110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F9D4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拆除大型标志牌（普通门架上挤压标志牌）</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7DE4E">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(1)破坏性拆除(2)材料残值应根据回收主体或市场行情另行确定(3)拆除、装车、现场清理、运输、高空作业车等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946A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EBD8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69.47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7990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按拆除数量计</w:t>
            </w:r>
          </w:p>
        </w:tc>
      </w:tr>
      <w:tr w14:paraId="6868C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5A5F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194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71AA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183111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FDE0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拆除大型标志牌（大型龙门架上挤压型标志牌）</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0E889">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(1)破坏性拆除(2)材料残值应根据回收主体或市场行情另行确定(3)拆除、装车、现场清理、运输、高空作业车等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39C6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2E4C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72.68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9694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按拆除数量计</w:t>
            </w:r>
          </w:p>
        </w:tc>
      </w:tr>
      <w:tr w14:paraId="14F98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868F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195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4873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183112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85C2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拆除单柱标杆</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D1A24">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(1)破坏性拆除(2)材料残值应根据回收主体或市场行情另行确定(3)拆除、装车、现场清理、运输(4)不含基础及路面恢复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729E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3CB8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27.53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BD35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按拆除数量计</w:t>
            </w:r>
          </w:p>
        </w:tc>
      </w:tr>
      <w:tr w14:paraId="48315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8FCE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196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80EB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183113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01C7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拆除中小型双柱标杆</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273AC">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(1)破坏性拆除(2)材料残值应根据回收主体或市场行情另行确定(3)拆除、装车、现场清理、运输(4)不含基础及路面恢复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58F4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E562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39.82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2117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按拆除数量计</w:t>
            </w:r>
          </w:p>
        </w:tc>
      </w:tr>
      <w:tr w14:paraId="2326B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11F2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197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5A01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183114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C686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拆除大型双柱标志杆</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7CD54">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(1)破坏性拆除(2)材料残值应根据回收主体或市场行情另行确定(3)拆除、装车、现场清理、运输(4)不含基础及路面恢复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DD2C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CBD5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126.84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CCA8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按拆除数量计</w:t>
            </w:r>
          </w:p>
        </w:tc>
      </w:tr>
      <w:tr w14:paraId="66F70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F141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198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6910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183115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148E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拆除Y型标志杆</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6B0E0">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(1)破坏性拆除(2)材料残值应根据回收主体或市场行情另行确定(3)拆除、装车、现场清理、运输(4)不含基础及路面恢复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4FBB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1A6D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136.56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2380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0B1A0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7D64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199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59C6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183116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EF8C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拆除F型标志杆</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1D846">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(1)破坏性拆除(2)材料残值应根据回收主体或市场行情另行确定(3)拆除、装车、现场清理、运输(4)不含基础及路面恢复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1179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2CD4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186.73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1F96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124CB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169D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200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272D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183117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A384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拆除T型标志杆</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9A484">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(1)破坏性拆除(2)材料残值应根据回收主体或市场行情另行确定(3)拆除、装车、现场清理、运输(4)不含基础及路面恢复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8C58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D920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225.14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0C46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449C5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D378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201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44DB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183118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07C4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拆除L型标志杆</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5E254">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(1)破坏性拆除(2)材料残值应根据回收主体或市场行情另行确定(3)拆除、装车、现场清理、运输(4)不含基础及路面恢复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5C90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393A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303.16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800B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0E66D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4D14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202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396C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183119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FB23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拆除整梁式及两边柱头加大式门架</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43C89">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(1)跨径=14-18m(2)破坏性拆除(3)材料残值应根据回收主体或市场行情另行确定(4)拆除、装车、现场清理、运输、高空作业车等(5)不含基础及路面恢复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87A9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49A1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1763.07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9C08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661CB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0D83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203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0309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183120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A760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拆除中间法兰式门架</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1E8CE">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(1)跨径=22-32m(2)破坏性拆除(3)材料残值应根据回收主体或市场行情另行确定(4)拆除、装车、现场清理、运输、高空作业车等(5)不含基础及路面恢复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8FBC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F90C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2633.46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C14B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3C2A8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8B1A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204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B135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183121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A7E6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拆除两边悬臂式门架（跨径L=3-9-3m）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BA765">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(1)跨径L=3-9-3m(2)破坏性拆除(3)材料残值应根据回收主体或市场行情另行确定(4)拆除、装车、现场清理、运输、高空作业车等(5)不含基础及路面恢复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1474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3EA1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1772.03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8E81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57658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5F87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205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052B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183122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DDC5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拆除两边悬臂式门架（跨径L=7-20-7m）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A83FD">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(1)跨径L=7-20-7m(2)破坏性拆除(3)材料残值应根据回收主体或市场行情另行确定(4)拆除、装车、现场清理、运输、高空作业车等(5)不含基础及路面恢复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CE2A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2430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2470.35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3AE9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按拆除数量计</w:t>
            </w:r>
          </w:p>
        </w:tc>
      </w:tr>
      <w:tr w14:paraId="15A04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D86F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206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DF7A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183123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CCBE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拆除大型龙门架</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7E52C">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(1)跨径=14-22(2)破坏性拆除(3)材料残值应根据回收主体或市场行情另行确定(4)拆除、装车、现场清理、运输、高空作业车等(5)不含基础及路面恢复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C762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座</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D067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2920.77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85DB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按拆除数量计</w:t>
            </w:r>
          </w:p>
        </w:tc>
      </w:tr>
      <w:tr w14:paraId="1111B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DCD5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207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DB3B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183124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70B1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电气配线（2.5m㎡)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A15F5">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不含配管</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1425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602F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3.27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E3DB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0560D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F2F6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208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F961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183125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F0A7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电气配线（2×2.5m㎡)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3C2AD">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不含配管</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3A43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01CC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6.76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A771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011D3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FAAA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209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08D9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183126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4500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电气配线（2×4m㎡)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C4C7F">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不含配管</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F350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C70A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8.17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E8803">
            <w:pPr>
              <w:keepNext w:val="0"/>
              <w:keepLines w:val="0"/>
              <w:widowControl/>
              <w:suppressLineNumbers w:val="0"/>
              <w:ind w:firstLineChars="0"/>
              <w:jc w:val="center"/>
              <w:textAlignment w:val="center"/>
              <w:rPr>
                <w:rStyle w:val="299"/>
                <w:rFonts w:hint="eastAsia" w:ascii="宋体" w:hAnsi="宋体" w:cs="宋体"/>
                <w:i w:val="0"/>
                <w:iCs w:val="0"/>
                <w:color w:val="000000"/>
                <w:sz w:val="18"/>
                <w:szCs w:val="18"/>
                <w:highlight w:val="none"/>
                <w:u w:val="none"/>
                <w:lang w:bidi="ar"/>
              </w:rPr>
            </w:pPr>
            <w:r>
              <w:rPr>
                <w:rStyle w:val="299"/>
                <w:highlight w:val="none"/>
                <w:lang w:val="en-US" w:eastAsia="zh-CN" w:bidi="ar"/>
              </w:rPr>
              <w:t>按施工长度计</w:t>
            </w:r>
          </w:p>
        </w:tc>
      </w:tr>
      <w:tr w14:paraId="43A8A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2851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210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A1F2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183127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5FBC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电气配管</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9BCD4">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(1)刚性阻燃管 φ20×1.6</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65DC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6BE5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12.31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AC5D7">
            <w:pPr>
              <w:keepNext w:val="0"/>
              <w:keepLines w:val="0"/>
              <w:widowControl/>
              <w:suppressLineNumbers w:val="0"/>
              <w:ind w:firstLineChars="0"/>
              <w:jc w:val="center"/>
              <w:textAlignment w:val="center"/>
              <w:rPr>
                <w:rStyle w:val="299"/>
                <w:rFonts w:hint="eastAsia" w:ascii="宋体" w:hAnsi="宋体" w:cs="宋体"/>
                <w:i w:val="0"/>
                <w:iCs w:val="0"/>
                <w:color w:val="000000"/>
                <w:sz w:val="18"/>
                <w:szCs w:val="18"/>
                <w:highlight w:val="none"/>
                <w:u w:val="none"/>
                <w:lang w:bidi="ar"/>
              </w:rPr>
            </w:pPr>
            <w:r>
              <w:rPr>
                <w:rStyle w:val="299"/>
                <w:highlight w:val="none"/>
                <w:lang w:val="en-US" w:eastAsia="zh-CN" w:bidi="ar"/>
              </w:rPr>
              <w:t>按施工长度计</w:t>
            </w:r>
          </w:p>
        </w:tc>
      </w:tr>
      <w:tr w14:paraId="77170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A95F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211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B569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183128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47C3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凸面镜 (φ800mm）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830E5">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(1)φ800mm(2)高清晰，PC镜面(3)不含立柱、基础</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C8B2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C366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130.14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F94A8">
            <w:pPr>
              <w:keepNext w:val="0"/>
              <w:keepLines w:val="0"/>
              <w:widowControl/>
              <w:suppressLineNumbers w:val="0"/>
              <w:ind w:firstLineChars="0"/>
              <w:jc w:val="center"/>
              <w:textAlignment w:val="center"/>
              <w:rPr>
                <w:rStyle w:val="299"/>
                <w:rFonts w:hint="eastAsia" w:ascii="宋体" w:hAnsi="宋体" w:cs="宋体"/>
                <w:i w:val="0"/>
                <w:iCs w:val="0"/>
                <w:color w:val="000000"/>
                <w:sz w:val="18"/>
                <w:szCs w:val="18"/>
                <w:highlight w:val="none"/>
                <w:u w:val="none"/>
                <w:lang w:bidi="ar"/>
              </w:rPr>
            </w:pPr>
            <w:r>
              <w:rPr>
                <w:rStyle w:val="299"/>
                <w:highlight w:val="none"/>
                <w:lang w:val="en-US" w:eastAsia="zh-CN" w:bidi="ar"/>
              </w:rPr>
              <w:t>按施工数量计</w:t>
            </w:r>
          </w:p>
        </w:tc>
      </w:tr>
      <w:tr w14:paraId="7B9CB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8AFF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212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9598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183129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A068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凸面镜 (φ1000mm）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15D71">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(1)φ1000mm(2)高清晰，PC镜面(3)不含立柱、基础</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7B44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F670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179.10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F24D3">
            <w:pPr>
              <w:keepNext w:val="0"/>
              <w:keepLines w:val="0"/>
              <w:widowControl/>
              <w:suppressLineNumbers w:val="0"/>
              <w:ind w:firstLineChars="0"/>
              <w:jc w:val="center"/>
              <w:textAlignment w:val="center"/>
              <w:rPr>
                <w:rStyle w:val="299"/>
                <w:rFonts w:hint="eastAsia" w:ascii="宋体" w:hAnsi="宋体" w:cs="宋体"/>
                <w:i w:val="0"/>
                <w:iCs w:val="0"/>
                <w:color w:val="000000"/>
                <w:sz w:val="18"/>
                <w:szCs w:val="18"/>
                <w:highlight w:val="none"/>
                <w:u w:val="none"/>
                <w:lang w:bidi="ar"/>
              </w:rPr>
            </w:pPr>
            <w:r>
              <w:rPr>
                <w:rStyle w:val="299"/>
                <w:highlight w:val="none"/>
                <w:lang w:val="en-US" w:eastAsia="zh-CN" w:bidi="ar"/>
              </w:rPr>
              <w:t>按施工数量计</w:t>
            </w:r>
          </w:p>
        </w:tc>
      </w:tr>
      <w:tr w14:paraId="61E2E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4C92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213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207B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183130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2AA7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反光发光限高标志及示宽标志（含太阳能板）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342C7">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(1)组合件含发光部分 ，三件，上、左、右</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FA37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18EC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3673.92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5BD7E">
            <w:pPr>
              <w:keepNext w:val="0"/>
              <w:keepLines w:val="0"/>
              <w:widowControl/>
              <w:suppressLineNumbers w:val="0"/>
              <w:ind w:firstLineChars="0"/>
              <w:jc w:val="center"/>
              <w:textAlignment w:val="center"/>
              <w:rPr>
                <w:rStyle w:val="299"/>
                <w:rFonts w:hint="eastAsia" w:ascii="宋体" w:hAnsi="宋体" w:cs="宋体"/>
                <w:i w:val="0"/>
                <w:iCs w:val="0"/>
                <w:color w:val="000000"/>
                <w:sz w:val="18"/>
                <w:szCs w:val="18"/>
                <w:highlight w:val="none"/>
                <w:u w:val="none"/>
                <w:lang w:bidi="ar"/>
              </w:rPr>
            </w:pPr>
            <w:r>
              <w:rPr>
                <w:rStyle w:val="299"/>
                <w:highlight w:val="none"/>
                <w:lang w:val="en-US" w:eastAsia="zh-CN" w:bidi="ar"/>
              </w:rPr>
              <w:t>按施工数量计</w:t>
            </w:r>
          </w:p>
        </w:tc>
      </w:tr>
      <w:tr w14:paraId="09B36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5C44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214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A3AA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183131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2DB3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太阳能自发光标志（椭圆形）（含太阳能板）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3EA8A">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(1)长轴半径1000mm、短轴半径500mm椭圆(2)附着式</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798C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2F02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3206.00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CCBD9">
            <w:pPr>
              <w:keepNext w:val="0"/>
              <w:keepLines w:val="0"/>
              <w:widowControl/>
              <w:suppressLineNumbers w:val="0"/>
              <w:ind w:firstLineChars="0"/>
              <w:jc w:val="center"/>
              <w:textAlignment w:val="center"/>
              <w:rPr>
                <w:rStyle w:val="299"/>
                <w:rFonts w:hint="eastAsia" w:ascii="宋体" w:hAnsi="宋体" w:cs="宋体"/>
                <w:i w:val="0"/>
                <w:iCs w:val="0"/>
                <w:color w:val="000000"/>
                <w:sz w:val="18"/>
                <w:szCs w:val="18"/>
                <w:highlight w:val="none"/>
                <w:u w:val="none"/>
                <w:lang w:bidi="ar"/>
              </w:rPr>
            </w:pPr>
            <w:r>
              <w:rPr>
                <w:rStyle w:val="299"/>
                <w:highlight w:val="none"/>
                <w:lang w:val="en-US" w:eastAsia="zh-CN" w:bidi="ar"/>
              </w:rPr>
              <w:t>按施工数量计</w:t>
            </w:r>
          </w:p>
        </w:tc>
      </w:tr>
      <w:tr w14:paraId="09612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D51D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215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85C9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183132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1C73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太阳能自发光标志(圆形)（含太阳能板）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55452">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(1)φ1000mm(2)附着式</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74BA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DEAE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2815.75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A0CE3">
            <w:pPr>
              <w:keepNext w:val="0"/>
              <w:keepLines w:val="0"/>
              <w:widowControl/>
              <w:suppressLineNumbers w:val="0"/>
              <w:ind w:firstLineChars="0"/>
              <w:jc w:val="center"/>
              <w:textAlignment w:val="center"/>
              <w:rPr>
                <w:rStyle w:val="299"/>
                <w:rFonts w:hint="eastAsia" w:ascii="宋体" w:hAnsi="宋体" w:cs="宋体"/>
                <w:i w:val="0"/>
                <w:iCs w:val="0"/>
                <w:color w:val="000000"/>
                <w:sz w:val="18"/>
                <w:szCs w:val="18"/>
                <w:highlight w:val="none"/>
                <w:u w:val="none"/>
                <w:lang w:bidi="ar"/>
              </w:rPr>
            </w:pPr>
            <w:r>
              <w:rPr>
                <w:rStyle w:val="299"/>
                <w:highlight w:val="none"/>
                <w:lang w:val="en-US" w:eastAsia="zh-CN" w:bidi="ar"/>
              </w:rPr>
              <w:t>按施工数量计</w:t>
            </w:r>
          </w:p>
        </w:tc>
      </w:tr>
      <w:tr w14:paraId="00FFA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C74D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216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55B0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183133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E1F9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2020款太阳能分道指示器面板（铝合金400mm×840mm×120mm×3mm）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E77F6">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(1)铝合金面板制作(2)粘贴IV类反光膜(3)LED自发光箭头(4)混凝土基础制作安装</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A582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BE48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1575.45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5DF6C">
            <w:pPr>
              <w:keepNext w:val="0"/>
              <w:keepLines w:val="0"/>
              <w:widowControl/>
              <w:suppressLineNumbers w:val="0"/>
              <w:ind w:firstLineChars="0"/>
              <w:jc w:val="center"/>
              <w:textAlignment w:val="center"/>
              <w:rPr>
                <w:rStyle w:val="299"/>
                <w:rFonts w:hint="eastAsia" w:ascii="宋体" w:hAnsi="宋体" w:cs="宋体"/>
                <w:i w:val="0"/>
                <w:iCs w:val="0"/>
                <w:color w:val="000000"/>
                <w:sz w:val="18"/>
                <w:szCs w:val="18"/>
                <w:highlight w:val="none"/>
                <w:u w:val="none"/>
                <w:lang w:bidi="ar"/>
              </w:rPr>
            </w:pPr>
            <w:r>
              <w:rPr>
                <w:rStyle w:val="299"/>
                <w:highlight w:val="none"/>
                <w:lang w:val="en-US" w:eastAsia="zh-CN" w:bidi="ar"/>
              </w:rPr>
              <w:t>按制作数量计</w:t>
            </w:r>
          </w:p>
        </w:tc>
      </w:tr>
      <w:tr w14:paraId="20EF4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9633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217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48FA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183134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47E6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2020款反光分道指示器面板（铝合金400mm×840mm×120mm×3mm）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90261">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(1)铝合金面板制作(2)粘贴IV类反光膜(3)法兰盘制作安装</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4FCC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C711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1470.99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24DE2">
            <w:pPr>
              <w:keepNext w:val="0"/>
              <w:keepLines w:val="0"/>
              <w:widowControl/>
              <w:suppressLineNumbers w:val="0"/>
              <w:ind w:firstLineChars="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6FC27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top"/>
          </w:tcPr>
          <w:p w14:paraId="494956B8">
            <w:pPr>
              <w:jc w:val="left"/>
              <w:rPr>
                <w:rFonts w:hint="eastAsia" w:ascii="宋体" w:hAnsi="宋体" w:cs="宋体"/>
                <w:i w:val="0"/>
                <w:iCs w:val="0"/>
                <w:color w:val="000000"/>
                <w:sz w:val="18"/>
                <w:szCs w:val="18"/>
                <w:highlight w:val="none"/>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top"/>
          </w:tcPr>
          <w:p w14:paraId="2A4AC8AD">
            <w:pPr>
              <w:jc w:val="left"/>
              <w:rPr>
                <w:rFonts w:hint="eastAsia" w:ascii="宋体" w:hAnsi="宋体" w:cs="宋体"/>
                <w:i w:val="0"/>
                <w:iCs w:val="0"/>
                <w:color w:val="000000"/>
                <w:sz w:val="18"/>
                <w:szCs w:val="18"/>
                <w:highlight w:val="none"/>
                <w:u w:val="none"/>
              </w:rPr>
            </w:pPr>
          </w:p>
        </w:tc>
        <w:tc>
          <w:tcPr>
            <w:tcW w:w="47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7F5BBF">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302"/>
                <w:highlight w:val="none"/>
                <w:lang w:val="en-US" w:eastAsia="zh-CN" w:bidi="ar"/>
              </w:rPr>
              <w:t>(四)护栏及隔离设施等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CFC54">
            <w:pPr>
              <w:jc w:val="center"/>
              <w:rPr>
                <w:rFonts w:hint="eastAsia" w:ascii="宋体" w:hAnsi="宋体" w:eastAsia="宋体" w:cs="宋体"/>
                <w:i w:val="0"/>
                <w:iCs w:val="0"/>
                <w:color w:val="000000"/>
                <w:sz w:val="18"/>
                <w:szCs w:val="18"/>
                <w:highlight w:val="none"/>
                <w:u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top"/>
          </w:tcPr>
          <w:p w14:paraId="2F436DB4">
            <w:pPr>
              <w:jc w:val="left"/>
              <w:rPr>
                <w:rFonts w:hint="eastAsia" w:ascii="宋体" w:hAnsi="宋体" w:cs="宋体"/>
                <w:i w:val="0"/>
                <w:iCs w:val="0"/>
                <w:color w:val="000000"/>
                <w:sz w:val="18"/>
                <w:szCs w:val="18"/>
                <w:highlight w:val="none"/>
                <w:u w:val="none"/>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top"/>
          </w:tcPr>
          <w:p w14:paraId="04E967BA">
            <w:pPr>
              <w:jc w:val="left"/>
              <w:rPr>
                <w:rFonts w:hint="eastAsia" w:ascii="宋体" w:hAnsi="宋体" w:cs="宋体"/>
                <w:i w:val="0"/>
                <w:iCs w:val="0"/>
                <w:color w:val="000000"/>
                <w:sz w:val="18"/>
                <w:szCs w:val="18"/>
                <w:highlight w:val="none"/>
                <w:u w:val="none"/>
              </w:rPr>
            </w:pPr>
          </w:p>
        </w:tc>
      </w:tr>
      <w:tr w14:paraId="50DD5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8B97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218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C097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184001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E287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护栏(各类型)翻新</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B01D7">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含清洗、打磨、除锈、喷环氧富锌底漆及氟碳漆(2) 钢结构底漆一道，面漆二道(3) 采用水性漆(4) 以护栏翻新实际面积计</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18FE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3A97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47.93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CE2FC">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按立面投影面积计</w:t>
            </w:r>
          </w:p>
        </w:tc>
      </w:tr>
      <w:tr w14:paraId="7452C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7057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219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AFC4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184002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C94E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波形护栏翻新</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7C379">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除锈打磨(2) 高压水枪清洗(3) 喷刷醇酸磁漆</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026C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EE40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18.92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2C5F3">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按单面展开面积计</w:t>
            </w:r>
          </w:p>
        </w:tc>
      </w:tr>
      <w:tr w14:paraId="44CA3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6D2A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220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ACC9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184003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1896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金属构件热浸镀锌</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BD018">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除锈、清洗、浸锌、冷却钝化、整修、成品编号堆放。</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87CB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A391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1985.01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F5F4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按镀锌构件质量计</w:t>
            </w:r>
          </w:p>
        </w:tc>
      </w:tr>
      <w:tr w14:paraId="542E0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0240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221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B1B4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184004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A12F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拆除护栏</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top"/>
          </w:tcPr>
          <w:p w14:paraId="3AE638B3">
            <w:pPr>
              <w:keepNext w:val="0"/>
              <w:keepLines w:val="0"/>
              <w:widowControl/>
              <w:suppressLineNumbers w:val="0"/>
              <w:jc w:val="left"/>
              <w:textAlignment w:val="top"/>
              <w:rPr>
                <w:rFonts w:hint="eastAsia" w:ascii="宋体" w:hAnsi="宋体" w:cs="宋体"/>
                <w:i w:val="0"/>
                <w:iCs w:val="0"/>
                <w:color w:val="000000"/>
                <w:sz w:val="18"/>
                <w:szCs w:val="18"/>
                <w:highlight w:val="none"/>
                <w:u w:val="none"/>
              </w:rPr>
            </w:pPr>
            <w:r>
              <w:rPr>
                <w:rStyle w:val="299"/>
                <w:highlight w:val="none"/>
                <w:lang w:val="en-US" w:eastAsia="zh-CN" w:bidi="ar"/>
              </w:rPr>
              <w:t>(1)保护性拆除(2)基础破除、护栏拆除、运输、 堆放、路面修补恢复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22FB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7DBE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26.62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405A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按拆除构件长度计</w:t>
            </w:r>
          </w:p>
        </w:tc>
      </w:tr>
      <w:tr w14:paraId="5AF37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FBFE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222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0F94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184005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95E9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防爬网/防抛网（2.9×1.2m）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F8E20">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2.9×1.2m(2) 立柱Φ60×5mm(3) Φ3mm钢丝(4) 热镀锌(5) 氟碳面漆</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A280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D128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232.88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CE5F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699DD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EE28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223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2CAE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184006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EBC8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防爬网/防抛网（2.9×1.8m）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F7743">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2.9×1.8m(2) 立柱Φ60×5mm(3) Φ3mm钢丝(4) 热镀锌(5) 氟碳面漆</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F737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AC1E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280.84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7B1B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26888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5CF0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224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94DA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184007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60E6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防爬网/防抛网（3.5×1.2m）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07F08">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3.5×1.2m(2) 立柱Φ60×5mm(3) Φ3mm钢丝(4) 热镀锌(5) 氟碳面漆</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3CD5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4D47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204.24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4EB7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0E869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870C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225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5AB7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184008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C825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太阳能发光反光砂桶 (φ600mm×1000，全膜）</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EC8DB">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φ600mm×1000mm(2) 全侧面贴IV类反光膜，三布四胶玻璃钢桶体 ，LED光源(3) 包括运输、装砂、安装、桶盖等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A566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8122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1015.49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4C68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按安装数量计</w:t>
            </w:r>
          </w:p>
        </w:tc>
      </w:tr>
      <w:tr w14:paraId="71367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2F63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226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CDF1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184009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BEE1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太阳能发光反光砂桶 (φ800mm×1000，全膜）</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30072">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φ800mm×1000mm(2) 全侧面贴IV类反光膜，三布四胶玻璃钢桶体 ，LED光源(3) 包括运输、装砂、安装、桶盖等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036D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A459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1132.57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F66B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按安装数量计</w:t>
            </w:r>
          </w:p>
        </w:tc>
      </w:tr>
      <w:tr w14:paraId="151D9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D876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227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06A7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184010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87E5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太阳能发光反光砂桶 (φ1000mm×1000mm，全膜）</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D8406">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(1)φ1000mm×1000mm(2) 全侧面贴IV类反光膜，三布四胶玻璃钢桶体 ，LED光源(3) 包括运输、装砂、安装、桶盖等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C9F5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1A87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1444.77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E741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07498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B9B3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228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AE97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184011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28C7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反光砂桶 (φ600mm×1000mm，半膜）</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5F6E7">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φ600mm×1000mm(2) 贴IV类反光膜，三布四胶玻璃钢桶体(3) 包括运输、装砂、安装、桶盖等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38B9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CAEA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705.07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CCE1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33EB1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7171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229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C1C5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184012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AD67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反光砂桶 (φ800mm×1000mm，半膜）</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6037D">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φ800mm×1000mm(2) 贴IV类反光膜，三布四胶玻璃钢桶体(3) 包括运输、装砂、安装、桶盖等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00C1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4675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858.20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C5BF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2B536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9AC7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230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AA91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184013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80C8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反光砂桶 (φ1000mm×1000mm，半膜）</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7A360">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(1)φ1000mm×1000mm(2) 贴IV类反光膜，三布四胶玻璃钢桶体(3) 包括运输、装砂、安装、桶盖等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B298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1D78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1055.12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048C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271E7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06F0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231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2889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184014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765D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太阳能发光反光沙桶 (φ600mm×H1000，半膜）</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FBB45">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φ600mm×1000mm(2) 贴IV类反光膜，三布四胶玻璃钢桶体，LED光源(3) 包括运输、装砂、安装、桶盖等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56CF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0654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829.94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0986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4FDB3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0D3E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232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3D8A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184015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EC00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太阳能发光反光沙桶 (φ800mm×H1000，半膜）</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5030D">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φ800mm×1000mm(2) 贴IV类反光膜，三布四胶玻璃钢桶体，LED光源(3) 包括运输、装砂、安装、桶盖等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DCF0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E787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982.71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EAB9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55923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D184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233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FCE2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184016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BF46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太阳能发光反光沙桶 (φ1000mm×H1000mm，半膜）</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F6FC7">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(1)φ1000mm×1000mm(2) 贴IV类反光膜，三布四胶玻璃钢桶体，LED光源(3) 包括运输、装砂、安装、桶盖等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E42D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C922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1179.39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9EFC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按安装数量计</w:t>
            </w:r>
          </w:p>
        </w:tc>
      </w:tr>
      <w:tr w14:paraId="7EC61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A421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234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9AA5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184017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B4B6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反光防撞桶拆除</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B9CB2">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(1)不分规格</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FECF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2CE8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15.94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7BA0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0C7FB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8048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235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5582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184018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59FD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反光砂桶桶盖 (φ600mm）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76B94">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(1)φ600mm(2)单独更换(3)包括运输、安装等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CE4B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6FF7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61.21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922C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171B2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F064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236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FE62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184019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7972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反光砂桶桶盖 (φ800mm）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42DE">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(1)φ800mm(2)单独更换(3)包括运输、安装等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4C97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256B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70.56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B459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73907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6868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237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2760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184020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FAF6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反光砂桶桶盖 (φ900mm）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C9627">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(1)φ900mm(2)单独更换(3)包括运输、安装等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88BD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7DC8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78.37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60C2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26ED2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A570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238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720F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184021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40A3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反光砂桶桶盖 (φ1000mm）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576A9">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(1)φ1000mm(2)单独更换(3)包括运输、安装等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F9A7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54AD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100.23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B53E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167EC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9975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239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D8A3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184022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9CBE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太阳能反光砂桶桶盖 (φ600mm）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39A87">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(1)φ600mm(2) 单独更换(3) 包括运输、安装、太阳能板及其他电子器件等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BAAB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47B2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84.62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0220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260A4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1073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240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EB66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184023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FEAD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太阳能反光砂桶桶盖 (φ800mm）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D1A27">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(1)φ800mm(2) 单独更换(3) 包括运输、安装、太阳能板及其他电子器件等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86E7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55EB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113.50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42DE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395D6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B702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241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A53C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184024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20F4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太阳能反光砂桶桶盖 (φ1000mm）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D1429">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(1)φ1000mm(2) 单独更换(3) 包括运输、安装、太阳能板及其他电子器件等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2EA9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381D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140.81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CE51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3C03A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3B01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242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F3DA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184025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F04E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翻新钢管防护柱</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F3471">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IV类反光膜(2) 不分规格</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58AA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CDC3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219.38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FE9C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按翻新面积计</w:t>
            </w:r>
          </w:p>
        </w:tc>
      </w:tr>
      <w:tr w14:paraId="6C332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0DC9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243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DE6F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184026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F8D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防护柱安装（不含基础）</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9B2B1">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(1)不含基础预埋件及C30混凝土、不含主材</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19ED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5EF3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87.96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104B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17208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E314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244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D1D6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184027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6D24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防护柱安装（含基础）</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64D17">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(1)含基础预埋件及C30混凝土、 不含主材</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B63C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7C31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125.59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6EE0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1CF3B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A141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245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1DBE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184028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BC90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警示柱（H=0.7m)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26001">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(1)φ114*5*1050镀锌钢管，内填C20混凝土(2)超强反光膜(3)含C30基础</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FF61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0F1C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235.12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35BD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3C870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60F6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246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BE99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184029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26F5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警示柱（H=1m)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E73CB">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(1)φ114*5*1350镀锌钢管，内填C20混凝土(2)超强反光膜(3)含C30基础</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22BE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FBC9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262.41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432D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5E9E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39A2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247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DAEA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184030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ED8D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分隔柱（钢管款， φ168mm、H=1200mm，内填C20微膨胀混凝土）</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E01FF">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H=1200mm(2) φ168mm不锈钢管，T=16mm(3) 热镀锌，贴IV类反光膜，内填C20微膨胀混凝土(4) 包括运输、安装、基础等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B886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BF61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1542.89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34AA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2FED2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D734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248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083A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184031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37AB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分隔柱（钢柱款， φ168mm、H=1200mm，实心）</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7B109">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H=1200mm(2) φ168mm不锈钢管，T=16mm(3) 热镀锌，贴IV类反光膜，实心(4) 包括运输、安装、基础等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7BE4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44AD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4918.54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26A2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70EC9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3E6D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249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8807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184032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4DFC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分隔柱（大理石款，直径20cm）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CC031">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大理石(2) 地面以上H=420mm,埋深250mm(3) 包括基础制作、运输、安装、人行道恢复。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5430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644F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290.89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26FE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2F205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2F27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250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5D62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184033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C0C3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分隔柱（大理石款，直径25cm）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D5877">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大理石(2) 地面以上H=420mm,埋深250mm(3) 包括基础制作、运输、安装、人行道恢复。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A6D9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F04A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409.13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71EA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576B7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0822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251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1105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184034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4534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分隔柱（铸铁款， φ100mm、H=800mm）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8B8A4">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H=800mm(2) φ100mm铸铁款，氟碳漆涂膜厚度≥70μm(3) 热镀锌，贴黄色反光膜（采用CBCC中国建筑色卡国家标准色卡1105号色）(4) 包括运输、安装、基础等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9C08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F651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932.37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E797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6D630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4B17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252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CD68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184035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C080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拆除防护柱  （镀锌钢管）</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F9C52">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(1)不分规格，不含路面恢复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F0F5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2593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83.09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897F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08395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2E12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253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68EA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184036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19E8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拆除防护柱（实心钢柱）</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5AA6A">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(1)不分规格，不含路面恢复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F398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EDF0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155.27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9A3E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0226B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F066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254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51FE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184037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A217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拆除防护柱（大理石）</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11204">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(1)不分规格，不含路面恢复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B436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E49B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92.91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3DB6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13E64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E45C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255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8C2E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184038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8BC0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拆除防护柱（花岗岩）</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EB471">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(1)不分规格，不含路面恢复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DA65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7737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92.91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CB80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42CE6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A3E0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256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4B8B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184039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E610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翻新挡车架（2m， φ89）</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09970">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2m(2) φ89mm(3) 贴IV类反光膜</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98D9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跨</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AE63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146.98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62DE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66070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49B3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257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3F52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184040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4043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翻新挡车架（2m， φ76）</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D9AF3">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2m(2) φ76mm(3) 贴IV类反光膜</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3CDF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跨</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0A6B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125.04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A8B6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3EA52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8FB4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258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F4C3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184041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D483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翻新挡车架（1.5m， φ89）</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DB55C">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1.5m(2) φ89mm(3) 贴IV类反光膜</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2BCB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跨</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36EE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98.73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3B31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27C1B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B327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259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CC2D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184042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B7A4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翻新挡车架（1.5m， φ76）</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60A2A">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1.5m(2) φ76mm(3)  贴IV类反光膜</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0B16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跨</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47BA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83.36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DF97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004CF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6B5A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260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4A56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184043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27B6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拆除挡车架</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3C748">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(1)不分规格</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28DA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5584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26.57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888A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0DB31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6127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261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457E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184044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4263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缓冲隔离柱（不锈钢外壳）</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4FB9D">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(1)规格 :直径168mm、地面以上高度600mm(2)Q690钢管立柱φ127*16*1190mm、(3)304不锈钢外壳φ168*5*482mm及上盖φ158.3*15.2*111mm(4)PU+PP弹性体φ156*13.5*60*8mm(5)φ12基础螺纹钢(6)600*600*600mmC30混凝土基础(7)其它详见图纸</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651F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4E8B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2408.15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3E08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501A6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E707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262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198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184045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75FA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缓冲隔离柱（PP外壳）</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EE7DD">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(1)规格 :直径168mm、地面以上高度600mm(2)Q690钢管立柱φ127*16*1190mm、(3)PP外壳φ168*5*482mm及上盖φ158.3*15.2*111mm 、表面喷仿石纹油漆(4)PU+PP弹性体φ156*13.5*60*8mm(5)φ12基础螺纹钢(6)600*600*600mmC30混凝土基础(7)其它详见图纸</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C29F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DB28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2021.88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CAE1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1DB7F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E6D9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263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FA62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184046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5784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缓冲隔离柱更换外壳（不锈钢）</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A26D9">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(1)φ168*5*482mm³04不锈钢外壳(2)φ158.3*15.2*111mm³04不锈钢上盖(3)其它详见图纸</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2DB7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C17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595.67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3335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429D5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2866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264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4694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184047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8995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缓冲隔离柱更换外壳（PP）</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C4A58">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(1)φ168*5*482mm³04PP外壳、表面喷仿石纹油漆(2)φ158.3*15.2*111mm³04PP上盖、表面喷仿石纹油漆(3)其它详见图纸</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2A19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4FF0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205.46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70FA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0DC56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509A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265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EBFD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184048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70F7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缓冲吸能型渠化岛岛头（钢板外壳）</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0D405">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(1)规格：最大长度1655mm、最大宽度1511mm、最大高度648mm(2)5mm厚Q235钢板安全岛外壳、 表面喷仿石纹油漆(3)S350GD+Z吸能蜂窝、吸能橡胶弹性体(4)Q235导向框架、Q235基座、Q235地基(5)其它详见结构示意图</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ADA0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73FF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14457.02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2105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10C82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BA49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266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51B0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184049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6F72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缓冲吸能型渠化岛岛头（PP外壳）</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FCE1A">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(1)规格：最大长度1655mm、最大宽度1511mm、最大高度648mm(2)5mm厚PP安全岛外壳、表面喷仿石纹油漆(3)S350GD+Z吸能蜂窝、吸能橡胶弹性体(4)Q235导向框架、Q235基座、Q235地基(5)其它详见结构示意图</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D4DA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49F2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12755.19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58FA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6580D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3CE7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267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6FCE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184050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0325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缓冲吸能型渠化岛岛头更换外壳（钢板）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7EF1B">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(1)规格：最大长度1655mm、最大宽度1511mm、最大高度648mm(2)5mm厚Q235钢板安全岛外壳、 表面喷仿石纹油漆(3)其它详见结构示意图</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490B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CEFA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3484.24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48D1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64910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0898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268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2C0E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184051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09F3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缓冲吸能型渠化岛岛头更换外壳（PP）</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B7C47">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(1)规格：最大长度1655mm、最大宽度1511mm、最大高度648mm(2)5mm厚PP安全岛外壳、表面喷仿石纹油漆(3)其它详见结构示意图</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3BE0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7B01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1859.78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8631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31013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6FB4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269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4F41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184052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D93F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缓冲吸能型渠化岛岛头更换外壳（钢板）及吸能缓冲构件</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648D8">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(1)规格：最大长度1655mm、最大宽度1511mm、最大高度648mm(2)5mm厚Q235钢板安全岛外壳、 表面喷仿石纹油漆(3)S350GD+Z吸能蜂窝、吸能橡胶弹性体(4)Q235导向框架(5)其它详见结构示意图</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622B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4B17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9904.75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CC62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36187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0D0D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270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9837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184053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1ACD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缓冲吸能型渠化岛岛头更换外壳（PP）及吸能缓冲构件</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1D5C1">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(1)规格：最大长度1655mm、最大宽度1511mm、最大高度648mm(2)5mm厚PP安全岛外壳、表面喷仿石纹油漆(3)S350GD+Z吸能蜂窝、吸能橡胶弹性体(4)Q235导向框架(5)其它详见结构示意图</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5721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EB8D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8202.93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3361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1DAA2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D3A8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271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2B56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184054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AE0A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缓冲吸能型二次过街岛岛头（钢板外壳）</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46181">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(1)规格：最大长度2126mm、最大宽度1250mm、最大高度595mm(2)5mm厚Q235钢板安全岛外壳、 表面喷仿石纹油漆(3)S350GD+Z吸能蜂窝(4)Q235导向框架、Q235基座、Q235地基(5)其它详见结构示意图</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6B99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2078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12373.85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DE6F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11470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E89B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272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06DE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184055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1148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缓冲吸能型二次过街岛岛头（PP外壳）</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E7D46">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(1)规格：最大长度2126mm、最大宽度1250mm、最大高度595mm(2)5mm厚PP安全岛外壳、表面喷仿石纹油漆(3)S350GD+Z吸能蜂窝(4)Q235导向框架、Q235基座、Q235地基(5)其它详见结构示意图</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A012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0296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10517.31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50EF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7FA85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CAB3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273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8A8F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184056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B8DA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缓冲吸能型二次过街岛岛头更换外壳（钢板）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0E78D">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(1)规格：最大长度2126mm、最大宽度1250mm、最大高度595mm(2)5mm厚Q235钢板安全岛外壳、 表面喷仿石纹油漆(3)其它详见结构示意图</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3FFF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BD86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3789.36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A8E3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45F33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6173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274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F54B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184057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4AAE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缓冲吸能型二次过街岛岛头更换外壳（PP）</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3070E">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(1)规格：最大长度2126mm、最大宽度1250mm、最大高度595mm(2)5mm厚PP安全岛外壳、表面喷仿石纹油漆(3)其它详见结构示意图</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8FE2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3C94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1971.50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8918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5FA61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2C83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275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D190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184058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0D99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缓冲吸能型二次过街岛岛头更换外壳（钢板）及吸能缓冲构件</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525B1">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(1)规格：最大长度2126mm、最大宽度1250mm、最大高度595mm(2)5mm厚Q235钢板安全岛外壳、 表面喷仿石纹油漆(3)S350GD+Z吸能蜂窝(4)Q235导向框架(5)其它详见结构示意图</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71DE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AD7C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7037.54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6440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44D9B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32C0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276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D7FB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184059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48CD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缓冲吸能型二次过街岛岛头更换外壳（PP）及吸能缓冲构件</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AA747">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(1)规格：最大长度2126mm、最大宽度1250mm、最大高度595mm(2)5mm厚PP安全岛外壳、表面喷仿石纹油漆(3)S350GD+Z吸能蜂窝(4)Q235导向框架(5)其它详见结构示意图</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95E6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385F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5219.70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A124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0364C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6964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277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7A2F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184060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71F9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不锈钢升降柱 (φ168mm、H=650mm，带链锁，大盖头，链挂柱）</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48E59">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H=650mm(2) φ168mm(3) 带链锁，大盖头，链挂柱(4) 含运输、安装等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30D1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F1B8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1746.62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70E8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551A2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9EE0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278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CB0E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184061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2ECC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不锈钢升降柱 (φ168mm、H=650mm，带链锁，直柱头，链挂柱）</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721C5">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H=650mm(2) φ168mm(3) 带链锁，直柱头，链挂柱(4) 含运输、安装等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0E8E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D47D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1617.40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E881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4363D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570F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279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08C6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184062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B41F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防眩板(900×220×6mm)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03AC4">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(1)反S型玻璃钢防眩板900×220×6mm(2)玻璃钢底板220×110×15mm(3)C30预制混凝土盖板封顶700×110×200mm(4)6%水泥石粉渣700×110×150mm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79C0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7B07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43.96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801A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78FB6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449E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280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065A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184063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397C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防眩板(220×800mm)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89BD5">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(1)220×800mm(2)HDPE材质</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E716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8E1E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30.33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7E8B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6C09B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7879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281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3622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184064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16FD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防眩板(220×700mm)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15B51">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(1)220×700mm(2)HDPE材质</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3FB6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AF40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27.17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AEB2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5EBC7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49DD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282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32BD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184065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F703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防眩板(220×600mm)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7E895">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(1)220×600mm(2)HDPE材质</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3C25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C394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23.99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0E18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3E969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5815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283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6830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184066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846F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防眩板(220×500mm)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AD756">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(1)220×500mm(2)HDPE材质</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2411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B8FA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20.80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AF41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5A971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9E43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284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AD3A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184067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8544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防眩板(220×400mm)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26C89">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(1)220×400mm(2)HDPE材质</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2541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E760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17.62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3F40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55BEA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5F7E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285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85BC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184068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EDFC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各式护栏扶正</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898E6">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含简易材料(2) 含拆除、安装等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4ECC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38E2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18.99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85B4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4E4E5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1A0D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286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49BC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184069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2B7B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钢管防护柱扶正</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3D914">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含简易材料</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5E7A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23ED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70.97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B51D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7AE44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F82F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287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B6DA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184070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C4E6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车止石扶正</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61C29">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含简易材料</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3E12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0636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19.16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46C3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39924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455E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288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1B0F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184071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B8A4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小型标志杆扶正</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334B7">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(1)含简易材料(2)不含基础</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7859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BD2A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31.25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D5F9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517D5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FFC7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289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5151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184072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DDD7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小型标志牌扶正</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9E150">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含简易材料</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D12B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93C2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15.62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8D2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5B4D6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093B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290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5F17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184073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0183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各式护栏局部修复（更换型材)</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597B6">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包括油漆等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11F0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3410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8968.77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9FF9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按修复护栏重量计</w:t>
            </w:r>
          </w:p>
        </w:tc>
      </w:tr>
      <w:tr w14:paraId="6720A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22BE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291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ECF1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184074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02BC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各式护栏局部修复（更换钢筋)</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884AF">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包括油漆等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D7B2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18A9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8234.93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671F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按修复护栏重量计</w:t>
            </w:r>
          </w:p>
        </w:tc>
      </w:tr>
      <w:tr w14:paraId="7E417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FEE9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292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F92D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184075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7F00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梯型单面反光轮廓标</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5A62E">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(1)标体材料：底座、标体为不锈钢，连接件为弹力TPU(2)应用温度：-40-70℃(3)采用棱镜体反射器 ，单面反光(4)在外力作用下可弯曲 、回弹，无变形(5)耐候性：＞5年(6)其他：满足设计要求</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44DE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B301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43.52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37B9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4509D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ADFC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293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3EE5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184076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7E32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梯型双面反光轮廓标</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9AA09">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(1)标体材料：底座、标体为不锈钢，连接件为弹力TPU(2)应用温度：-40-70℃(3)采用棱镜体反射器 ，双面反光(4)在外力作用下可弯曲 、回弹，无变形(5)耐候性：＞5年(6)其他：满足设计要求</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F2C1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1397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46.75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282D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09995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C564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294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F966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184077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58D9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长方型单面反光轮廓标</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911DA">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(1)标体材料：底座、标体为不锈钢，连接件为弹力TPU(2)应用温度：-40-70℃(3)采用棱镜体反射器 ，单面反光(4)在外力作用下可弯曲 、回弹，无变形(5)耐候性：＞5年(6)其他：满足设计要求</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06CF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2D41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46.75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FA8F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78ED8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7D1E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295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3EB4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184078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2AC6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长方型双面反光轮廓标</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FCBBA">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(1)标体材料：底座、标体为不锈钢，连接件为弹力TPU(2)应用温度：-40-70℃(3)采用棱镜体反射器 ，双面反光(4)在外力作用下可弯曲 、回弹，无变形(5)耐候性：＞5年(6)其他：满足设计要求</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CD2B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1807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55.58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B528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46B63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9E88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296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CB1E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184079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DF23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Φ80mm圆型反光轮廓标（平底，单面反光）</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0CB18">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(1)标体材料：平底座、标体为不锈钢，连接件为弹力TPU(2)应用温度：-40-70℃(3)采用棱镜体反射器 ， Φ80mm圆型，单面反光(4)在外力作用下可弯曲 、回弹，无变形(5)耐候性：＞5年(6)其他：满足设计要求</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DCD6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AC02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45.14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13B4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72CAF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5DBF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297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5D06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184080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3EE0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Φ80mm圆型反光轮廓标（平底，双面反光）</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EF729">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(1)标体材料：平底座、标体为不锈钢，连接件为弹力TPU(2)应用温度：-40-70℃(3)采用棱镜体反射器 ， Φ80mm圆型，双面反光(4)在外力作用下可弯曲 、回弹，无变形(5)耐候性：＞5年(6)其他：满足设计要求</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8BB8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F1C4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43.52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63DA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5E02B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4443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298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0AB1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184081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E560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Φ80mm圆型反光轮廓标（斜底，单面反光）</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BC2F8">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(1)标体材料：斜底座、标体为不锈钢，连接件为弹力TPU(2)应用温度：-40-70℃(3)采用棱镜体反射器 ， Φ80mm圆型，单面反光(4)在外力作用下可弯曲 、回弹，无变形(5)耐候性：＞5年(6)其他：满足设计要求</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226E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A947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45.14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AC9E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4940D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474A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299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C47E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184082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A6D3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Φ80mm圆型反光轮廓标（斜底，双面反光）</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E7BBC">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(1)标体材料：斜底座、标体为不锈钢，连接件为弹力TPU(2)应用温度：-40-70℃(3)采用棱镜体反射器 ， Φ80mm圆型，双面反光(4)在外力作用下可弯曲 、回弹，无变形(5)耐候性：＞5年(6)其他：满足设计要求</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174E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8D4B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43.52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20F0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0A922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B3D1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300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E633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184083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6F97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Φ100mm圆形反光轮廓标（平底，单面反光）</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B4B0E">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(1)标体材料：平底座、标体为不锈钢，连接件为弹力TPU(2)应用温度：-40-70℃(3)采用棱镜体反射器 ， Φ100mm圆型，单面反光(4)在外力作用下可弯曲 、回弹，无变形(5)耐候性：＞5年(6)其他：满足设计要求</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E1E1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F729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45.14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9281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3FD1D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AA62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301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A917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184084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D2B7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Φ100mm圆形反光轮廓标（平底，双面反光）</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24CEB">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(1)标体材料：平底座、标体为不锈钢，连接件为弹力TPU(2)应用温度：-40-70℃(3)采用棱镜体反射器 ， Φ100mm圆型，双面反光(4)在外力作用下可弯曲 、回弹，无变形(5)耐候性：＞5年(6)其他：满足设计要求</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5D2A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4B1D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43.52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3C6D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12DA1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F2C7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302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7E04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184085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7E52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Φ100mm圆形反光轮廓标（斜底，单面反光）</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CA92F">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(1)标体材料：斜底座、标体为不锈钢，连接件为弹力TPU(2)应用温度：-40-70℃(3)采用棱镜体反射器 ， Φ100mm圆型，单面反光(4)在外力作用下可弯曲 、回弹，无变形(5)耐候性：＞5年(6)其他：满足设计要求</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FB7B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1634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45.14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3B97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4B6BE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81EB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303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57AB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184086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6CDA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Φ100mm圆形反光轮廓标（斜底，双面反光）</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25F51">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(1)标体材料：斜底座、标体为不锈钢，连接件为弹力TPU(2)应用温度：-40-70℃(3)采用棱镜体反射器 ， Φ100mm圆型，双面反光(4)在外力作用下可弯曲 、回弹，无变形(5)耐候性：＞5年(6)其他：满足设计要求</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1FF7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8236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43.52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0ECE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7D8A7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E570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304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C0C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184087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CF2A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立柱式轮廓标 (Φ30cm，底座45*34cm）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0EA7B">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(1)标体材料：底座、标体为不锈钢，C30混凝土基础(2)应用温度：-40-70℃(3)采用棱镜体反射器 ，白色+黑色(4)在外力作用下可弯曲 、回弹，无变形(5)耐候性：＞5年(6)其他：满足设计要求</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577F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AD3B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115.19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28A0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610EE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8EF0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305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62B4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184088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BF4F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立柱式轮廓标 (Φ30cm，底座52*42cm）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FEB1E">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(1)标体材料：底座、标体为不锈钢，C30混凝土基础(2)应用温度：-40-70℃(3)采用棱镜体反射器 ，白色+黑色(4)在外力作用下可弯曲 、回弹，无变形(5)耐候性：＞5年(6)其他：满足设计要求</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79E3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AF17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124.04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5888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1D6B0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5BB0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306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DB6A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184089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7A54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太阳能黄闪灯</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21C3B">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(1)Φ300mm(2)钢管立柱76*4.5*2780mm(3)C30混凝土基础(4)其他 :满足设计要求</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5A1A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08D2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547.86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6717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2CDC4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7DDA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307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7A3C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184090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9AAA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太阳能道口标(2000×300mm)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A82BF">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(1)2000×300mm(2)反光膜类型Ⅳ类(3) 单面闪光、红/白光(4)顶端黄闪灯Φ300mm，蓄电池：锂电池（寿命＞20个月，可更换）(5)含立杆与预埋件(6)混凝土基础制作安装</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33FA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1C77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1131.08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9C79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398D0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736A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308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E0E4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184091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6232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太阳能道口标(2500×300mm)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5FBC5">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(1)2500×300mm(2)反光膜类型Ⅳ类(3) 单面闪光、红/白光(4)顶端黄闪灯Φ300mm，蓄电池：锂电池（寿命＞20个月，可更换）(5)含立杆与预埋件(6)混凝土基础制作安装</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B10C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D192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1369.52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BE60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0661C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6A1C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309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5BCB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184092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86EC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太阳能道口标(2700×300mm)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90238">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(1)2700×300mm(2)反光膜类型Ⅳ类(3) 单面闪光、红/白光(4)顶端黄闪灯Φ300mm，蓄电池：锂电池（寿命＞20个月，可更换）(5)含立杆与预埋件</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6EB1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C5ED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1464.89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9763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4955E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EF09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310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160B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184093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1E83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太阳能道口标(3200×300mm)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8D0EB">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(1)3200×300mm(2)反光膜类型Ⅳ类(3) 单面闪光、红/白光(4)顶端黄闪灯Φ300mm，蓄电池：锂电池（寿命＞20个月，可更换）(5)含立杆与预埋件</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46DE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66F9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1703.33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9F96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37FCA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BAFE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311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B742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184094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D87C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2016A款路侧护栏(标准型H=1000mm)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C3795">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单片长1.5m，高1.0m(包含端头和立柱)(2) 含制作、镀锌、运输、贴反光膜、安装及护栏基础、人行道恢复。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A13B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B1F9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306.31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8877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19231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FAAB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312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1C4B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184095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2FE0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2016A款路侧护栏(通透型H=1000mm)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492B5">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单片长1.5m，高1.0m(包含端头和立柱)(2) 含制作、镀锌、运输、贴反光膜、安装及护栏基础、人行道恢复。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69AA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163E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325.66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4E6A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44289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65A7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313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4E98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184096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9827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2020款人行隔离护栏（德式护栏）</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81DD9">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单跨长1.5m，高1.1m(2)浸镀锌钢方通、外饰深香槟金色氟碳漆，面层金属哑光面处理。(3)基础制作安装、贴反光膜、人行道恢复。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E9EB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26D0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595.62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A1C7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2AF3B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17B5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314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F444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184097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2A0A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2016B款路中护栏标准段H=1100mm（60x20mm扁钢）</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9A597">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单片长2.04m，高1.10m(2) 含制作、镀锌、刷淡灰漆、 运输、贴反光膜、安装及护栏底座等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2779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D756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486.03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5EE2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23CBA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710D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315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73F9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184098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DB70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2016B款路中护栏下降段H=700mm(60x20mm扁钢）</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753CD">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单片长2.04m，高0.70m(2) 含制作、镀锌、刷淡灰漆、 运输、贴反光膜、安装及护栏底座等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D2C7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8133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399.02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75F2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094D2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39A8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316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CB6D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184099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F9C8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2016B款路中护栏衔接段H=900mm(60x20mm扁钢）</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7935E">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(1)单片长2.04m，高0.9m(2)含制作、镀锌、刷淡灰漆、运输、贴反光膜、安装及护栏底座等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FB8F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081C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430.57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56BC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0C792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FB14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317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E648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184100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2810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2016C款路中护栏（H=1100mm）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EF541">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单片长3.00m，高1.10m(2) 含制作、镀锌、刷水性漆、 运输、贴反光膜、安装及护栏底座、基础等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2597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E5EC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551.93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E7AD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19B41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0A15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318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1830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184101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1D65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2016C款路中护栏（H=700mm）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8A9AB">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单片长3.00m，高0.7m(2) 含制作、镀锌、刷水性漆、 运输、贴反光膜、安装及护栏底座、基础等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C3B0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C245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379.70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3319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548C2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2DB4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319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40FD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184102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5A13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2016C款路中护栏(过渡段0.9m)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01A03">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单片长3.00m，高0.9m(2) 含制作、镀锌、刷水性漆、 运输、贴反光膜、安装及护栏底座、基础等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1B52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5C97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466.89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1825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56F06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F690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320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9F85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184103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7A64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机非隔离护栏H=700mm(60x20mm扁钢）</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8D056">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单片长2.02m，高0.70m(2) 含制作、镀锌、刷淡灰漆、 运输、贴反光膜、安装及护栏底座等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30AB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B230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204.34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03EB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1F4CD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AA90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321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2407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184104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3CB7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铸铁底座250*250*100mm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A627D">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单独更换</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6C1C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E668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160.52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83A7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2C46F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2EB6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322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A831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184105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B484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铸铁底座400*400*100mm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C73D3">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单独更换(2) 单件重45kg</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6EC8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E46F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288.95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69FC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按更换数量计</w:t>
            </w:r>
          </w:p>
        </w:tc>
      </w:tr>
      <w:tr w14:paraId="21BBC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8F00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323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4C4E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184106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0906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铸铁底座450*450*150mm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8F6FD">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单独更换(2) 单件重116.97kg</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553A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3BDE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751.07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A273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按更换数量计</w:t>
            </w:r>
          </w:p>
        </w:tc>
      </w:tr>
      <w:tr w14:paraId="002B6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2A83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324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6270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184107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1E7E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B级波形护栏（Gr-B-2C,单排，柱距2m）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8F895">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单排，宽度310mm，t=3mm(2) 立柱Φ114mm，t=4.5mm,h=1100mm(3) 柱距2m(4)含安装、运输、镀锌、基础等其他所有(4)含安装、运输、镀锌、C25基础等其他所有费用</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818A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53C8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173.52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3E1A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7D89C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9D81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325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E833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184108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F51A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B级波形护栏（Gr-B-2E,单排，柱距2m）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A57B4">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单排，宽度310mm，t=3mm(2) 立柱Φ114mm，t=4.5mm,h=2100mm(3) 柱距2m(4)不含基础，含安装、运输、镀锌等其他所有费用</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594D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D440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174.81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BC89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30FB5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FE6E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326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45BC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184109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F42B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B级波形护栏（Gr-B-1C,单排，柱距1m）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7F0BA">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单排，宽度310mm，t=3mm(2) 立柱Φ114mm，t=4.5mm,h=1100mm(3) 柱距1m(4)含安装、运输、镀锌、C25基础等其他所有费用</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87F2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95D6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144.89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A435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085A2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E99B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327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08A3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184110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FFD4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B级波形护栏（Gr-B-1E,单排，柱距1m）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C1BA4">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单排，宽度310mm，t=3mm(2) 立柱Φ114mm，t=4.5mm,h=2100mm(3) 柱距1m(4)含安装、运输、镀锌等其他所有费用</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EC1F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D7D9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145.56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8DF6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747CD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7B6A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328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F2F2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184111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269F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A级波形护栏（Gr-A-4C）</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F687E">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（1）波形梁506*85*4*4320mm（2）立柱Φ140mm，t=4.5mm, h=1150mm（3）柱距4m（4）含安装、运输、镀锌、C30基础等其他所有费用</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9FA9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70B8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211.86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B3DC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59870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F998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329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F2D4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184112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D72C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A级波形护栏（Gr-A-4E）</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22D3B">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（1）波形梁506*85*4*4320mm（2）立柱Φ140mm，t=4.5mm, h=2150mm（3）柱距4m（4）含安装、运输、镀锌等其他所有费用</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00A1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E7C1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209.34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EB88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08BD0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679B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330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9AA7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184113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077F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A级波形护栏（Gr-A-2C）</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9F1E3">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（1）波形梁506*85*4*4320mm（2）立柱Φ140mm，t=4.5mm, h=1150mm（3）柱距2m（4）含安装、运输、镀锌、C30基础等其他所有费用</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C3E6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444D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262.08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C5F3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57649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7E2D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331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B49D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184114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92D3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A级波形护栏（Gr-A-2E）</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D6395">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（1）波形梁506*85*4*4320mm（2）立柱Φ140mm，t=4.5mm, h=2150mm（3）柱距2m（4）含安装、运输、镀锌等其他所有费用</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ACFE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9401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263.76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top"/>
          </w:tcPr>
          <w:p w14:paraId="6A9AD443">
            <w:pPr>
              <w:jc w:val="left"/>
              <w:rPr>
                <w:rFonts w:hint="eastAsia" w:ascii="宋体" w:hAnsi="宋体" w:cs="宋体"/>
                <w:i w:val="0"/>
                <w:iCs w:val="0"/>
                <w:color w:val="000000"/>
                <w:sz w:val="18"/>
                <w:szCs w:val="18"/>
                <w:highlight w:val="none"/>
                <w:u w:val="none"/>
              </w:rPr>
            </w:pPr>
          </w:p>
        </w:tc>
      </w:tr>
      <w:tr w14:paraId="08755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0688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332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62A0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184115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DD37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A级波形护栏（Gr-A-2B）</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DA710">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（1）波形梁506*85*4*4320mm（2）立柱Φ140mm，t=4.5mm, h=735mm（3）柱距2m（4）含安装、运输、镀锌等其他所有费用</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B0AA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BADE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320.66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F625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77125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D6DA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333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4655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184116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5703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A级波形护栏桥梁墙式护栏与路基波形护栏过渡段（单排，柱距2m）</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84428">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(1)单排，宽度310mm，t=4mm(2)立柱Φ140mm，t=4.5mm,h=1150mm(3)柱距2m(4)Ⅳ(超强级)反光膜(5)药包式化学锚拴(6)含安装、运输、镀锌等其他所有费用</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AD39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DAEE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257.24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96D0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458D2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EC3C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334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072F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184117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8971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三级波形护栏（Gr-Am-2C/Gr-Am-1C）</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5D2FD">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波形梁310*85*4*4320mm(2) 立柱φ140*4.5*1150mm(3) 柱距2m(4)含安装、运输、镀锌、C30基础等其他所有费用</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C577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D6F8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317.44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30C4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5A227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B37B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335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0DE0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184118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BF21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SB级三波波形护栏（Grd-Am-2B2）</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B2EB7">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波形梁310*85*4*4320mm(2) 立柱φ140*4.5*735mm(3) 柱距2m(4)含安装、运输、镀锌等其他所有费用</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022D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D7FF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361.55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5A57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25AB2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9C5B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336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D992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184119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8C6A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SB级三波波形护栏Gr-SB-2E（打入式）</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4F9AA">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波形梁506*85*4*4320mm(2) 方形立柱130×130×6×2690mm(3) 柱距2m(4)含安装、运输、镀锌等其他所有费用</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B80A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2EF1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359.75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C222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39A64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69F5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337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637F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184120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3888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SB级三波波形护栏Gr-SB-2C（埋入式）</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B9931">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波形梁506*85*4*4320mm(2) 方形立柱130×130×6×1440mm(3) 柱距2m(4)含安装、运输、镀锌等其他所有费用</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5FE7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FD32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384.56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92B2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51E32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4CA6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338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5542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184121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7CF5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SB级梁柱式型钢护栏标准段</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7058F">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波形梁506*85*4*4320mm(2) 方形立柱130×130×6×1440mm(3) 柱距2m(4)含安装、运输、镀锌、C30基础等其他所有费用</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073C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9C78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642.09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78C4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54CB0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8BB5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339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33DF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184122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10B5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其他异型护栏</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F38C1">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含制作、镀锌、油漆、运输、安装等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275C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93CC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11221.01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1634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按制作质量计</w:t>
            </w:r>
          </w:p>
        </w:tc>
      </w:tr>
      <w:tr w14:paraId="7BFEC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4D6C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340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D23F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184123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0CF6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其他异型护栏基座</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16513">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C30混凝土基础(2)预埋钢构件，钢筋(3)φ140桩基立柱</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C4A0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84EA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108.31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A47F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0DD0D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08F3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341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4282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184124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801F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柱帽</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6E551">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波形钢板立柱柱帽，单独更换</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C2A0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0232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5.41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9858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按更换数量计</w:t>
            </w:r>
          </w:p>
        </w:tc>
      </w:tr>
      <w:tr w14:paraId="4310F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F8C8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342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9A98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184125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296E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防阻块</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8BF63">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单独更换</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7C9D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kg</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75B4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4.97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574F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按更换构件重量计</w:t>
            </w:r>
          </w:p>
        </w:tc>
      </w:tr>
      <w:tr w14:paraId="44384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F69E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343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BD6C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184126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4691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波形护栏端头</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DB4FD">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单独更换</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F6D7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88A7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71.64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A656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按更换数量计</w:t>
            </w:r>
          </w:p>
        </w:tc>
      </w:tr>
      <w:tr w14:paraId="5359B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551A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344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DB2C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184127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E12D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轻型水泥隔离墩</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DDC61">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(1)L300mm*H600mm ，上宽140mm，下宽450mm(2)含钢筋、C25混凝土浇注(3)含运输、安装等，不含油漆(4)其他详见图纸</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8C37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B29F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103.66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13C8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7485D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DD28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345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D500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184128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F406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重型水泥隔离墩</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92D4D">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(1)600mm×600mm×800mm(2)含运输、安装等(3)不含油漆</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10DB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DD97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205.51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377D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5A141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264F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346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5F1E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184129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BB90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重型水泥隔离墩安装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1B320">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(1)不含主材</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80EE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A1D8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55.84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B3CE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63ED7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C28A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347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3C02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184130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328B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轻型水泥隔离墩安装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51DAB">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(1)不含主材</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007D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8820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37.18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7297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按施工数量计</w:t>
            </w:r>
          </w:p>
        </w:tc>
      </w:tr>
      <w:tr w14:paraId="23BC2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62D2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348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D9F6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184131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12DD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钢管（连接水泥墩）</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F8FC1">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(1)Φ40mm,t=3mm</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F1B6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C0DC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13.49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37CF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按施工长度计</w:t>
            </w:r>
          </w:p>
        </w:tc>
      </w:tr>
      <w:tr w14:paraId="0A3E0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top"/>
          </w:tcPr>
          <w:p w14:paraId="139F1933">
            <w:pPr>
              <w:jc w:val="left"/>
              <w:rPr>
                <w:rFonts w:hint="eastAsia" w:ascii="宋体" w:hAnsi="宋体" w:cs="宋体"/>
                <w:i w:val="0"/>
                <w:iCs w:val="0"/>
                <w:color w:val="000000"/>
                <w:sz w:val="18"/>
                <w:szCs w:val="18"/>
                <w:highlight w:val="none"/>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top"/>
          </w:tcPr>
          <w:p w14:paraId="51741308">
            <w:pPr>
              <w:jc w:val="left"/>
              <w:rPr>
                <w:rFonts w:hint="eastAsia" w:ascii="宋体" w:hAnsi="宋体" w:cs="宋体"/>
                <w:i w:val="0"/>
                <w:iCs w:val="0"/>
                <w:color w:val="000000"/>
                <w:sz w:val="18"/>
                <w:szCs w:val="18"/>
                <w:highlight w:val="none"/>
                <w:u w:val="none"/>
              </w:rPr>
            </w:pPr>
          </w:p>
        </w:tc>
        <w:tc>
          <w:tcPr>
            <w:tcW w:w="47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9D681C">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302"/>
                <w:highlight w:val="none"/>
                <w:lang w:val="en-US" w:eastAsia="zh-CN" w:bidi="ar"/>
              </w:rPr>
              <w:t>(五)其他</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446CC">
            <w:pPr>
              <w:jc w:val="center"/>
              <w:rPr>
                <w:rFonts w:hint="eastAsia" w:ascii="宋体" w:hAnsi="宋体" w:eastAsia="宋体" w:cs="宋体"/>
                <w:i w:val="0"/>
                <w:iCs w:val="0"/>
                <w:color w:val="000000"/>
                <w:sz w:val="18"/>
                <w:szCs w:val="18"/>
                <w:highlight w:val="none"/>
                <w:u w:val="none"/>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top"/>
          </w:tcPr>
          <w:p w14:paraId="648D69D5">
            <w:pPr>
              <w:jc w:val="left"/>
              <w:rPr>
                <w:rFonts w:hint="eastAsia" w:ascii="宋体" w:hAnsi="宋体" w:cs="宋体"/>
                <w:i w:val="0"/>
                <w:iCs w:val="0"/>
                <w:color w:val="000000"/>
                <w:sz w:val="18"/>
                <w:szCs w:val="18"/>
                <w:highlight w:val="none"/>
                <w:u w:val="none"/>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top"/>
          </w:tcPr>
          <w:p w14:paraId="1272CF48">
            <w:pPr>
              <w:jc w:val="left"/>
              <w:rPr>
                <w:rFonts w:hint="eastAsia" w:ascii="宋体" w:hAnsi="宋体" w:cs="宋体"/>
                <w:i w:val="0"/>
                <w:iCs w:val="0"/>
                <w:color w:val="000000"/>
                <w:sz w:val="18"/>
                <w:szCs w:val="18"/>
                <w:highlight w:val="none"/>
                <w:u w:val="none"/>
              </w:rPr>
            </w:pPr>
          </w:p>
        </w:tc>
      </w:tr>
      <w:tr w14:paraId="2517D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7CB9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349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39E9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185001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9742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拆除钢筋砼防撞栏、栏杆</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59D84">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不含运输及弃置</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7562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r>
              <w:rPr>
                <w:rStyle w:val="303"/>
                <w:rFonts w:hint="eastAsia" w:ascii="宋体" w:hAnsi="宋体" w:eastAsia="宋体" w:cs="宋体"/>
                <w:sz w:val="18"/>
                <w:szCs w:val="18"/>
                <w:highlight w:val="none"/>
                <w:lang w:val="en-US" w:eastAsia="zh-CN" w:bidi="ar"/>
              </w:rPr>
              <w:t>³</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A0FB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265.14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1A05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按拆除体积计</w:t>
            </w:r>
          </w:p>
        </w:tc>
      </w:tr>
      <w:tr w14:paraId="5E70A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A1EC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350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D1B3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185002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9A79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拆除钢筋砼其他零星构件</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EA6AC">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不含运输及弃置</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FFBF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r>
              <w:rPr>
                <w:rStyle w:val="303"/>
                <w:rFonts w:hint="eastAsia" w:ascii="宋体" w:hAnsi="宋体" w:eastAsia="宋体" w:cs="宋体"/>
                <w:sz w:val="18"/>
                <w:szCs w:val="18"/>
                <w:highlight w:val="none"/>
                <w:lang w:val="en-US" w:eastAsia="zh-CN" w:bidi="ar"/>
              </w:rPr>
              <w:t>³</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766C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221.05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5633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按拆除体积计</w:t>
            </w:r>
          </w:p>
        </w:tc>
      </w:tr>
      <w:tr w14:paraId="3CE24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F315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351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D612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185003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E4FF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手持式风动式凿岩机凿除障碍物 无筋</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1C68E">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不含运输及弃置</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4869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r>
              <w:rPr>
                <w:rStyle w:val="303"/>
                <w:rFonts w:hint="eastAsia" w:ascii="宋体" w:hAnsi="宋体" w:eastAsia="宋体" w:cs="宋体"/>
                <w:sz w:val="18"/>
                <w:szCs w:val="18"/>
                <w:highlight w:val="none"/>
                <w:lang w:val="en-US" w:eastAsia="zh-CN" w:bidi="ar"/>
              </w:rPr>
              <w:t>³</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7BD6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244.80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EC1F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按拆除体积计</w:t>
            </w:r>
          </w:p>
        </w:tc>
      </w:tr>
      <w:tr w14:paraId="1B0B2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12E4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352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D9CA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185004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B13C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手持式风动式凿岩机凿除障碍物 有筋</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1A88B">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不含运输及弃置</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D636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r>
              <w:rPr>
                <w:rStyle w:val="303"/>
                <w:rFonts w:hint="eastAsia" w:ascii="宋体" w:hAnsi="宋体" w:eastAsia="宋体" w:cs="宋体"/>
                <w:sz w:val="18"/>
                <w:szCs w:val="18"/>
                <w:highlight w:val="none"/>
                <w:lang w:val="en-US" w:eastAsia="zh-CN" w:bidi="ar"/>
              </w:rPr>
              <w:t>³</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14EE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335.27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C3D1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按拆除体积计</w:t>
            </w:r>
          </w:p>
        </w:tc>
      </w:tr>
      <w:tr w14:paraId="0E77D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64CD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353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C6B4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185005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23FE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挖掘机带液压锤破碎构筑物 无筋</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1F94D">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不含运输及弃置</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75AB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r>
              <w:rPr>
                <w:rStyle w:val="303"/>
                <w:rFonts w:hint="eastAsia" w:ascii="宋体" w:hAnsi="宋体" w:eastAsia="宋体" w:cs="宋体"/>
                <w:sz w:val="18"/>
                <w:szCs w:val="18"/>
                <w:highlight w:val="none"/>
                <w:lang w:val="en-US" w:eastAsia="zh-CN" w:bidi="ar"/>
              </w:rPr>
              <w:t>³</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E1DD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85.14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51EA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按拆除体积计</w:t>
            </w:r>
          </w:p>
        </w:tc>
      </w:tr>
      <w:tr w14:paraId="7E445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314F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354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972F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185006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1067B">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挖掘机带液压锤破碎构筑物 有筋</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10D18">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不含运输及弃置</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716A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r>
              <w:rPr>
                <w:rStyle w:val="303"/>
                <w:rFonts w:hint="eastAsia" w:ascii="宋体" w:hAnsi="宋体" w:eastAsia="宋体" w:cs="宋体"/>
                <w:sz w:val="18"/>
                <w:szCs w:val="18"/>
                <w:highlight w:val="none"/>
                <w:lang w:val="en-US" w:eastAsia="zh-CN" w:bidi="ar"/>
              </w:rPr>
              <w:t>³</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B006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111.06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10C4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按拆除体积计</w:t>
            </w:r>
          </w:p>
        </w:tc>
      </w:tr>
      <w:tr w14:paraId="4507E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C4CA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355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50F0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185007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5CB0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拆除砖砌检查井 深3m以内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A5140">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不含运输及弃置</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6239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r>
              <w:rPr>
                <w:rStyle w:val="303"/>
                <w:rFonts w:hint="eastAsia" w:ascii="宋体" w:hAnsi="宋体" w:eastAsia="宋体" w:cs="宋体"/>
                <w:sz w:val="18"/>
                <w:szCs w:val="18"/>
                <w:highlight w:val="none"/>
                <w:lang w:val="en-US" w:eastAsia="zh-CN" w:bidi="ar"/>
              </w:rPr>
              <w:t>³</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EB62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111.42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8E7C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按拆除体积计</w:t>
            </w:r>
          </w:p>
        </w:tc>
      </w:tr>
      <w:tr w14:paraId="0756C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54AE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356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4F51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185008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22F6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拆除砖砌检查井 深3m以外</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DF835">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不含运输及弃置</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02EA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r>
              <w:rPr>
                <w:rStyle w:val="303"/>
                <w:rFonts w:hint="eastAsia" w:ascii="宋体" w:hAnsi="宋体" w:eastAsia="宋体" w:cs="宋体"/>
                <w:sz w:val="18"/>
                <w:szCs w:val="18"/>
                <w:highlight w:val="none"/>
                <w:lang w:val="en-US" w:eastAsia="zh-CN" w:bidi="ar"/>
              </w:rPr>
              <w:t>³</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65A4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128.94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B1F0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按拆除体积计</w:t>
            </w:r>
          </w:p>
        </w:tc>
      </w:tr>
      <w:tr w14:paraId="447EC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46A7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357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6161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185009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0E8F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拆除砖砌其他构筑物</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7A626">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不含运输及弃置</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8FB7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r>
              <w:rPr>
                <w:rStyle w:val="303"/>
                <w:rFonts w:hint="eastAsia" w:ascii="宋体" w:hAnsi="宋体" w:eastAsia="宋体" w:cs="宋体"/>
                <w:sz w:val="18"/>
                <w:szCs w:val="18"/>
                <w:highlight w:val="none"/>
                <w:lang w:val="en-US" w:eastAsia="zh-CN" w:bidi="ar"/>
              </w:rPr>
              <w:t>³</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AA1D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89.06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03E9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按拆除体积计</w:t>
            </w:r>
          </w:p>
        </w:tc>
      </w:tr>
      <w:tr w14:paraId="50372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6061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358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1B5B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185010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B28C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拆除金属结构构件</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4673D">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不含运输及回收</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9C49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12D4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1267.76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43DC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按拆除质量计</w:t>
            </w:r>
          </w:p>
        </w:tc>
      </w:tr>
      <w:tr w14:paraId="7F6BE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635C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359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4927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185011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DDEA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拆除金属栏杆</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EC982">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不含运输及回收</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A526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2C1A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1628.73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648B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按拆除质量计</w:t>
            </w:r>
          </w:p>
        </w:tc>
      </w:tr>
      <w:tr w14:paraId="59E76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3550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360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2546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185012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187C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拆除钢防撞架</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A78FE">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不含运输及回收</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A2D9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A7F0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1872.25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094B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按拆除质量计</w:t>
            </w:r>
          </w:p>
        </w:tc>
      </w:tr>
      <w:tr w14:paraId="68531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4302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361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96F1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185013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D47F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砍伐乔木 米径10cm以内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05EA3">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降低树尾，砍伐，截干，清理树头、树根，清理场地、5km内清运</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6276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棵</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D9A0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38.47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5276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按砍伐数量计</w:t>
            </w:r>
          </w:p>
        </w:tc>
      </w:tr>
      <w:tr w14:paraId="2DD3B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57AC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362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97B2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185014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D34F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砍伐乔木 米径20cm以内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C1D83">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降低树尾，砍伐，截干，清理树头、树根，清理场地、5km内清运</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022D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棵</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F0AE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105.92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EF9C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按砍伐数量计</w:t>
            </w:r>
          </w:p>
        </w:tc>
      </w:tr>
      <w:tr w14:paraId="27362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9097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363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5950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185015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5E30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砍伐乔木 米径30cm以内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D72D8">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降低树尾，砍伐，截干，清理树头、树根，清理场地、5km内清运</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A255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棵</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CF44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216.65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0F45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按砍伐数量计</w:t>
            </w:r>
          </w:p>
        </w:tc>
      </w:tr>
      <w:tr w14:paraId="1C3A0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BB0D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364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8111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185016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6ED7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砍伐乔木 米径40cm以内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ECB06">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降低树尾，砍伐，截干，清理树头、树根，清理场地、5km内清运</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8A36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棵</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7033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335.30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15F0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按砍伐数量计</w:t>
            </w:r>
          </w:p>
        </w:tc>
      </w:tr>
      <w:tr w14:paraId="09ECB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41F6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365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EAD5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185017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D2E5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起挖草坪 栽种</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683E7">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(1)起挖、包扎、搬运集中、5km内清运、清理场地</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836D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1A94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3.15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E089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按起挖面积计</w:t>
            </w:r>
          </w:p>
        </w:tc>
      </w:tr>
      <w:tr w14:paraId="30189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F211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366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E91D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185018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61BF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起挖草坪 满铺</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EE5E2">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(1)起挖、包扎、搬运集中、5km内清运、清理场地</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74B6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04F1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3.66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3F7D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按起挖面积计</w:t>
            </w:r>
          </w:p>
        </w:tc>
      </w:tr>
      <w:tr w14:paraId="7B247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182E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367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4074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185019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2F6C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砍伐灌木 冠幅100cm以内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CF9A7">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起挖、包扎、搬运集中、5km内清运、清理场地</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8A5A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100株(丛)</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430B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6.47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D46E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按砍伐数量计</w:t>
            </w:r>
          </w:p>
        </w:tc>
      </w:tr>
      <w:tr w14:paraId="141E7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7102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368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CAD6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185020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8E7A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砍伐灌木 冠幅200cm以内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44646">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砍、挖、清理树头、树根，清理场地、5km内清运</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2385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100株(丛)</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133C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13.03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4443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按砍伐数量计</w:t>
            </w:r>
          </w:p>
        </w:tc>
      </w:tr>
      <w:tr w14:paraId="53F46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1AAA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369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547C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185021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8064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人行道砼预制块安砌（利用原有人行道砖）</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E7FB8">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不含主材</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D832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9B66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17.67</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8157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按人行道砌体面积计</w:t>
            </w:r>
          </w:p>
        </w:tc>
      </w:tr>
      <w:tr w14:paraId="215CA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AD82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370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7ED6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185022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5D9B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零星砖砌体</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04230">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不分规格(2) 湿拌砌筑砂浆</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F0B2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r>
              <w:rPr>
                <w:rStyle w:val="303"/>
                <w:rFonts w:hint="eastAsia" w:ascii="宋体" w:hAnsi="宋体" w:eastAsia="宋体" w:cs="宋体"/>
                <w:sz w:val="18"/>
                <w:szCs w:val="18"/>
                <w:highlight w:val="none"/>
                <w:lang w:val="en-US" w:eastAsia="zh-CN" w:bidi="ar"/>
              </w:rPr>
              <w:t>³</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AECF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1056.86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9252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按人行道砌体体积计</w:t>
            </w:r>
          </w:p>
        </w:tc>
      </w:tr>
      <w:tr w14:paraId="21790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5072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371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4810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185023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0CE0C">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基础土方人工开挖（2m以内）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88AE6">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不分土方类别(2) 不含运输及弃置</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79C8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r>
              <w:rPr>
                <w:rStyle w:val="303"/>
                <w:rFonts w:hint="eastAsia" w:ascii="宋体" w:hAnsi="宋体" w:eastAsia="宋体" w:cs="宋体"/>
                <w:sz w:val="18"/>
                <w:szCs w:val="18"/>
                <w:highlight w:val="none"/>
                <w:lang w:val="en-US" w:eastAsia="zh-CN" w:bidi="ar"/>
              </w:rPr>
              <w:t>³</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7BC1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43.85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5C97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按基础设计体积计</w:t>
            </w:r>
          </w:p>
        </w:tc>
      </w:tr>
      <w:tr w14:paraId="7098D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C5C8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372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EE18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185024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E001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基础土方人工开挖（4m以内）</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359D7">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不分土方类别(2) 不含运输及弃置</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DCDE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r>
              <w:rPr>
                <w:rStyle w:val="303"/>
                <w:rFonts w:hint="eastAsia" w:ascii="宋体" w:hAnsi="宋体" w:eastAsia="宋体" w:cs="宋体"/>
                <w:sz w:val="18"/>
                <w:szCs w:val="18"/>
                <w:highlight w:val="none"/>
                <w:lang w:val="en-US" w:eastAsia="zh-CN" w:bidi="ar"/>
              </w:rPr>
              <w:t>³</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72A1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58.62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E0E7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按基础设计体积计</w:t>
            </w:r>
          </w:p>
        </w:tc>
      </w:tr>
      <w:tr w14:paraId="0216A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9335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373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7ADC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185025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C966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基础土方机械开挖</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A69BB">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不分土方类别(2) 不含运输及弃置</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BEE8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r>
              <w:rPr>
                <w:rStyle w:val="303"/>
                <w:rFonts w:hint="eastAsia" w:ascii="宋体" w:hAnsi="宋体" w:eastAsia="宋体" w:cs="宋体"/>
                <w:sz w:val="18"/>
                <w:szCs w:val="18"/>
                <w:highlight w:val="none"/>
                <w:lang w:val="en-US" w:eastAsia="zh-CN" w:bidi="ar"/>
              </w:rPr>
              <w:t>³</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DDDB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7.01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E17D2">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按基础设计体积计</w:t>
            </w:r>
          </w:p>
        </w:tc>
      </w:tr>
      <w:tr w14:paraId="7D805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A49A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374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C7AD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185026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3D10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基础制作钢筋</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7A686">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不分规格</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EE0E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BA5C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4767.56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630E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按设计质量计</w:t>
            </w:r>
          </w:p>
        </w:tc>
      </w:tr>
      <w:tr w14:paraId="76CF5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B21E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375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9451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185027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31DA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基础制作预埋件（螺栓）</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AD5A9">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不分规格</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DA46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B287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9408.84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62A9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按设计质量计</w:t>
            </w:r>
          </w:p>
        </w:tc>
      </w:tr>
      <w:tr w14:paraId="178A5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3CD2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376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C38A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185028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9AC4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基础制作预埋件（铁件）</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8141A">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 不分规格</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F276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B6E0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9756.01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6B7C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按设计质量计</w:t>
            </w:r>
          </w:p>
        </w:tc>
      </w:tr>
      <w:tr w14:paraId="36D3C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C977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377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06EA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185029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4F9E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基础制作混凝土C25</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37BB1">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(1)C25混凝土：浇筑、震捣、养护，不含模板</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B350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r>
              <w:rPr>
                <w:rStyle w:val="303"/>
                <w:rFonts w:hint="eastAsia" w:ascii="宋体" w:hAnsi="宋体" w:eastAsia="宋体" w:cs="宋体"/>
                <w:sz w:val="18"/>
                <w:szCs w:val="18"/>
                <w:highlight w:val="none"/>
                <w:lang w:val="en-US" w:eastAsia="zh-CN" w:bidi="ar"/>
              </w:rPr>
              <w:t>³</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EA6E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547.90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659F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按基础设计体积计</w:t>
            </w:r>
          </w:p>
        </w:tc>
      </w:tr>
      <w:tr w14:paraId="6245D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02FB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378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2355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185030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37F3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基础制作混凝土C30</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FD3E7">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(1)C30混凝土：浇筑、震捣、养护，不含模板</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F3F5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r>
              <w:rPr>
                <w:rStyle w:val="303"/>
                <w:rFonts w:hint="eastAsia" w:ascii="宋体" w:hAnsi="宋体" w:eastAsia="宋体" w:cs="宋体"/>
                <w:sz w:val="18"/>
                <w:szCs w:val="18"/>
                <w:highlight w:val="none"/>
                <w:lang w:val="en-US" w:eastAsia="zh-CN" w:bidi="ar"/>
              </w:rPr>
              <w:t>³</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6CC4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566.58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73DE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按基础设计体积计</w:t>
            </w:r>
          </w:p>
        </w:tc>
      </w:tr>
      <w:tr w14:paraId="1F8C8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52F8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379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768C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185031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C45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基础模板</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2B272">
            <w:pPr>
              <w:keepNext w:val="0"/>
              <w:keepLines w:val="0"/>
              <w:widowControl/>
              <w:suppressLineNumbers w:val="0"/>
              <w:jc w:val="left"/>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(1)模板：量裁、支、拆回程运输。</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1AAB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C2A8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20.94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7250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按基础设计面积计</w:t>
            </w:r>
          </w:p>
        </w:tc>
      </w:tr>
      <w:tr w14:paraId="60105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F3C5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380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6B7B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185032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8F67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人工费（技术工日 ）</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top"/>
          </w:tcPr>
          <w:p w14:paraId="5C7FD142">
            <w:pPr>
              <w:jc w:val="left"/>
              <w:rPr>
                <w:rFonts w:hint="eastAsia" w:ascii="宋体" w:hAnsi="宋体" w:cs="宋体"/>
                <w:i w:val="0"/>
                <w:iCs w:val="0"/>
                <w:color w:val="000000"/>
                <w:sz w:val="18"/>
                <w:szCs w:val="18"/>
                <w:highlight w:val="none"/>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19AF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工日</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129F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206.05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3EA9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按现场签证台班数量计</w:t>
            </w:r>
          </w:p>
        </w:tc>
      </w:tr>
      <w:tr w14:paraId="13A66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C260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381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DC53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185033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CAB0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人工费（普通人工 ）</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top"/>
          </w:tcPr>
          <w:p w14:paraId="50D3B194">
            <w:pPr>
              <w:jc w:val="left"/>
              <w:rPr>
                <w:rFonts w:hint="eastAsia" w:ascii="宋体" w:hAnsi="宋体" w:cs="宋体"/>
                <w:i w:val="0"/>
                <w:iCs w:val="0"/>
                <w:color w:val="000000"/>
                <w:sz w:val="18"/>
                <w:szCs w:val="18"/>
                <w:highlight w:val="none"/>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ADAF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工日</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1B8F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166.58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E03F1">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按现场签证台班数量计</w:t>
            </w:r>
          </w:p>
        </w:tc>
      </w:tr>
      <w:tr w14:paraId="153CD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99F1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382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3D7E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185034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A684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台班 载货汽车（2T以下，含2T）</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top"/>
          </w:tcPr>
          <w:p w14:paraId="058642A2">
            <w:pPr>
              <w:jc w:val="left"/>
              <w:rPr>
                <w:rFonts w:hint="eastAsia" w:ascii="宋体" w:hAnsi="宋体" w:cs="宋体"/>
                <w:i w:val="0"/>
                <w:iCs w:val="0"/>
                <w:color w:val="000000"/>
                <w:sz w:val="18"/>
                <w:szCs w:val="18"/>
                <w:highlight w:val="none"/>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0C38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台班</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3A78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357.33</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9D98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按现场签证台班数量计</w:t>
            </w:r>
          </w:p>
        </w:tc>
      </w:tr>
      <w:tr w14:paraId="6DBB0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6DDC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383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73C0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185035</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A946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台班 载货汽车（2T-4T）</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top"/>
          </w:tcPr>
          <w:p w14:paraId="7FFBC8E0">
            <w:pPr>
              <w:jc w:val="left"/>
              <w:rPr>
                <w:rFonts w:hint="eastAsia" w:ascii="宋体" w:hAnsi="宋体" w:cs="宋体"/>
                <w:i w:val="0"/>
                <w:iCs w:val="0"/>
                <w:color w:val="000000"/>
                <w:sz w:val="18"/>
                <w:szCs w:val="18"/>
                <w:highlight w:val="none"/>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C0A7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台班</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0303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392.52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4F11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按现场签证台班数量计</w:t>
            </w:r>
          </w:p>
        </w:tc>
      </w:tr>
      <w:tr w14:paraId="15DF7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5517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384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D82F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185036</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29D7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台班 载货汽车（4T-8T）</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top"/>
          </w:tcPr>
          <w:p w14:paraId="4994965E">
            <w:pPr>
              <w:jc w:val="left"/>
              <w:rPr>
                <w:rFonts w:hint="eastAsia" w:ascii="宋体" w:hAnsi="宋体" w:cs="宋体"/>
                <w:i w:val="0"/>
                <w:iCs w:val="0"/>
                <w:color w:val="000000"/>
                <w:sz w:val="18"/>
                <w:szCs w:val="18"/>
                <w:highlight w:val="none"/>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A44E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台班</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688F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484.49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5C8A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按现场签证台班数量计</w:t>
            </w:r>
          </w:p>
        </w:tc>
      </w:tr>
      <w:tr w14:paraId="6694C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C825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385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FEF7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185037</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01993">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台班 载货汽车（8T以上）</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top"/>
          </w:tcPr>
          <w:p w14:paraId="2E1A0AA2">
            <w:pPr>
              <w:jc w:val="left"/>
              <w:rPr>
                <w:rFonts w:hint="eastAsia" w:ascii="宋体" w:hAnsi="宋体" w:cs="宋体"/>
                <w:i w:val="0"/>
                <w:iCs w:val="0"/>
                <w:color w:val="000000"/>
                <w:sz w:val="18"/>
                <w:szCs w:val="18"/>
                <w:highlight w:val="none"/>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3BDB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台班</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E1EC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747.41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B1664">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按现场签证台班数量计</w:t>
            </w:r>
          </w:p>
        </w:tc>
      </w:tr>
      <w:tr w14:paraId="0F1E3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AF03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386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92DB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185038</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F0D6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台班 汽车式起重机（8T以下）</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top"/>
          </w:tcPr>
          <w:p w14:paraId="63F5D670">
            <w:pPr>
              <w:jc w:val="left"/>
              <w:rPr>
                <w:rFonts w:hint="eastAsia" w:ascii="宋体" w:hAnsi="宋体" w:cs="宋体"/>
                <w:i w:val="0"/>
                <w:iCs w:val="0"/>
                <w:color w:val="000000"/>
                <w:sz w:val="18"/>
                <w:szCs w:val="18"/>
                <w:highlight w:val="none"/>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B021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台班</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6ACE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587.64</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3AC3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按现场签证台班数量计</w:t>
            </w:r>
          </w:p>
        </w:tc>
      </w:tr>
      <w:tr w14:paraId="2AA23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5501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387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AD33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185039</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6700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台班 汽车式起重机（8T-20T）</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top"/>
          </w:tcPr>
          <w:p w14:paraId="320A8700">
            <w:pPr>
              <w:jc w:val="left"/>
              <w:rPr>
                <w:rFonts w:hint="eastAsia" w:ascii="宋体" w:hAnsi="宋体" w:cs="宋体"/>
                <w:i w:val="0"/>
                <w:iCs w:val="0"/>
                <w:color w:val="000000"/>
                <w:sz w:val="18"/>
                <w:szCs w:val="18"/>
                <w:highlight w:val="none"/>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EE3C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台班</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BA62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898.39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0A53D">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按现场签证台班数量计</w:t>
            </w:r>
          </w:p>
        </w:tc>
      </w:tr>
      <w:tr w14:paraId="00B4E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9E1D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388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DEE4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185040</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F1E0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台班 汽车式起重机（20T以上）</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top"/>
          </w:tcPr>
          <w:p w14:paraId="103ABA75">
            <w:pPr>
              <w:jc w:val="left"/>
              <w:rPr>
                <w:rFonts w:hint="eastAsia" w:ascii="宋体" w:hAnsi="宋体" w:cs="宋体"/>
                <w:i w:val="0"/>
                <w:iCs w:val="0"/>
                <w:color w:val="000000"/>
                <w:sz w:val="18"/>
                <w:szCs w:val="18"/>
                <w:highlight w:val="none"/>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0DC5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台班</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BD13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1317.49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7331E">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按现场签证台班数量计</w:t>
            </w:r>
          </w:p>
        </w:tc>
      </w:tr>
      <w:tr w14:paraId="5C155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CACE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389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3D18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185041</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94A19">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台班 长材运输车</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top"/>
          </w:tcPr>
          <w:p w14:paraId="729529C9">
            <w:pPr>
              <w:jc w:val="left"/>
              <w:rPr>
                <w:rFonts w:hint="eastAsia" w:ascii="宋体" w:hAnsi="宋体" w:cs="宋体"/>
                <w:i w:val="0"/>
                <w:iCs w:val="0"/>
                <w:color w:val="000000"/>
                <w:sz w:val="18"/>
                <w:szCs w:val="18"/>
                <w:highlight w:val="none"/>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87D8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台班</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51D2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825.08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59E75">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按现场签证台班数量计</w:t>
            </w:r>
          </w:p>
        </w:tc>
      </w:tr>
      <w:tr w14:paraId="7B89E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B19E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390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D462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185042</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0E64F">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台班 高空作业车（9m高空车）</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top"/>
          </w:tcPr>
          <w:p w14:paraId="5093BB9D">
            <w:pPr>
              <w:jc w:val="left"/>
              <w:rPr>
                <w:rFonts w:hint="eastAsia" w:ascii="宋体" w:hAnsi="宋体" w:cs="宋体"/>
                <w:i w:val="0"/>
                <w:iCs w:val="0"/>
                <w:color w:val="000000"/>
                <w:sz w:val="18"/>
                <w:szCs w:val="18"/>
                <w:highlight w:val="none"/>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EF1C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台班</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9416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546.50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A7C8A">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按现场签证台班数量计</w:t>
            </w:r>
          </w:p>
        </w:tc>
      </w:tr>
      <w:tr w14:paraId="6C5E5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29A4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391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D06B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185043</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47EA0">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台班 高空作业车（18m高空车）</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top"/>
          </w:tcPr>
          <w:p w14:paraId="01C899BE">
            <w:pPr>
              <w:jc w:val="left"/>
              <w:rPr>
                <w:rFonts w:hint="eastAsia" w:ascii="宋体" w:hAnsi="宋体" w:cs="宋体"/>
                <w:i w:val="0"/>
                <w:iCs w:val="0"/>
                <w:color w:val="000000"/>
                <w:sz w:val="18"/>
                <w:szCs w:val="18"/>
                <w:highlight w:val="none"/>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34E2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台班</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38C6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1101.56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93E87">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按现场签证台班数量计</w:t>
            </w:r>
          </w:p>
        </w:tc>
      </w:tr>
      <w:tr w14:paraId="323B0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A6C7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392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2B15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185044</w:t>
            </w:r>
          </w:p>
        </w:tc>
        <w:tc>
          <w:tcPr>
            <w:tcW w:w="2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F8CF8">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台班 高空作业车（22m高空车）</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top"/>
          </w:tcPr>
          <w:p w14:paraId="2B669DFD">
            <w:pPr>
              <w:jc w:val="left"/>
              <w:rPr>
                <w:rFonts w:hint="eastAsia" w:ascii="宋体" w:hAnsi="宋体" w:cs="宋体"/>
                <w:i w:val="0"/>
                <w:iCs w:val="0"/>
                <w:color w:val="000000"/>
                <w:sz w:val="18"/>
                <w:szCs w:val="18"/>
                <w:highlight w:val="none"/>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A8B8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台班</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7045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u w:val="none"/>
                <w:lang w:val="en-US" w:eastAsia="zh-CN" w:bidi="ar"/>
              </w:rPr>
              <w:t>1341.08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6E746">
            <w:pPr>
              <w:keepNext w:val="0"/>
              <w:keepLines w:val="0"/>
              <w:widowControl/>
              <w:suppressLineNumbers w:val="0"/>
              <w:jc w:val="center"/>
              <w:textAlignment w:val="center"/>
              <w:rPr>
                <w:rFonts w:hint="eastAsia" w:ascii="宋体" w:hAnsi="宋体" w:cs="宋体"/>
                <w:i w:val="0"/>
                <w:iCs w:val="0"/>
                <w:color w:val="000000"/>
                <w:sz w:val="18"/>
                <w:szCs w:val="18"/>
                <w:highlight w:val="none"/>
                <w:u w:val="none"/>
              </w:rPr>
            </w:pPr>
            <w:r>
              <w:rPr>
                <w:rStyle w:val="299"/>
                <w:highlight w:val="none"/>
                <w:lang w:val="en-US" w:eastAsia="zh-CN" w:bidi="ar"/>
              </w:rPr>
              <w:t>按现场签证台班数量计</w:t>
            </w:r>
          </w:p>
        </w:tc>
      </w:tr>
    </w:tbl>
    <w:p w14:paraId="2485EB48">
      <w:pPr>
        <w:pStyle w:val="288"/>
        <w:numPr>
          <w:ilvl w:val="-1"/>
          <w:numId w:val="0"/>
        </w:numPr>
        <w:tabs>
          <w:tab w:val="left" w:pos="1140"/>
        </w:tabs>
        <w:spacing w:line="300" w:lineRule="auto"/>
        <w:ind w:firstLine="0" w:firstLineChars="0"/>
        <w:outlineLvl w:val="9"/>
        <w:rPr>
          <w:rFonts w:hint="eastAsia" w:ascii="仿宋" w:hAnsi="仿宋" w:eastAsia="仿宋" w:cs="仿宋"/>
          <w:b/>
          <w:bCs/>
          <w:color w:val="auto"/>
          <w:sz w:val="21"/>
          <w:szCs w:val="21"/>
          <w:highlight w:val="none"/>
        </w:rPr>
      </w:pPr>
      <w:r>
        <w:rPr>
          <w:rFonts w:hint="eastAsia" w:ascii="仿宋" w:hAnsi="仿宋" w:eastAsia="仿宋" w:cs="仿宋"/>
          <w:b/>
          <w:bCs/>
          <w:sz w:val="21"/>
          <w:szCs w:val="21"/>
          <w:highlight w:val="none"/>
        </w:rPr>
        <w:t>★</w:t>
      </w:r>
      <w:r>
        <w:rPr>
          <w:rFonts w:hint="eastAsia" w:ascii="仿宋" w:hAnsi="仿宋" w:eastAsia="仿宋" w:cs="仿宋"/>
          <w:b/>
          <w:bCs/>
          <w:color w:val="auto"/>
          <w:sz w:val="21"/>
          <w:szCs w:val="21"/>
          <w:highlight w:val="none"/>
        </w:rPr>
        <w:t>报价要求</w:t>
      </w:r>
    </w:p>
    <w:p w14:paraId="440602EE">
      <w:pPr>
        <w:widowControl w:val="0"/>
        <w:numPr>
          <w:ilvl w:val="0"/>
          <w:numId w:val="11"/>
        </w:numPr>
        <w:tabs>
          <w:tab w:val="left" w:pos="567"/>
          <w:tab w:val="left" w:pos="709"/>
        </w:tabs>
        <w:spacing w:after="78" w:line="360" w:lineRule="auto"/>
        <w:ind w:left="0" w:firstLine="567"/>
        <w:rPr>
          <w:rFonts w:hint="eastAsia" w:ascii="仿宋" w:hAnsi="仿宋" w:eastAsia="仿宋" w:cs="仿宋"/>
          <w:bCs/>
          <w:color w:val="auto"/>
          <w:sz w:val="21"/>
          <w:szCs w:val="21"/>
          <w:highlight w:val="none"/>
        </w:rPr>
      </w:pPr>
      <w:bookmarkStart w:id="441" w:name="_Toc52360888"/>
      <w:bookmarkStart w:id="442" w:name="_Toc26683"/>
      <w:r>
        <w:rPr>
          <w:rFonts w:hint="eastAsia" w:ascii="仿宋" w:hAnsi="仿宋" w:eastAsia="仿宋" w:cs="仿宋"/>
          <w:bCs/>
          <w:color w:val="auto"/>
          <w:sz w:val="21"/>
          <w:szCs w:val="21"/>
          <w:highlight w:val="none"/>
        </w:rPr>
        <w:t>专业分包采购清单及</w:t>
      </w:r>
      <w:r>
        <w:rPr>
          <w:rFonts w:hint="eastAsia" w:ascii="仿宋" w:hAnsi="仿宋" w:eastAsia="仿宋" w:cs="仿宋"/>
          <w:bCs/>
          <w:color w:val="auto"/>
          <w:sz w:val="21"/>
          <w:szCs w:val="21"/>
          <w:highlight w:val="none"/>
          <w:lang w:val="en-US" w:eastAsia="zh-CN"/>
        </w:rPr>
        <w:t>招标</w:t>
      </w:r>
      <w:r>
        <w:rPr>
          <w:rFonts w:hint="eastAsia" w:ascii="仿宋" w:hAnsi="仿宋" w:eastAsia="仿宋" w:cs="仿宋"/>
          <w:bCs/>
          <w:color w:val="auto"/>
          <w:sz w:val="21"/>
          <w:szCs w:val="21"/>
          <w:highlight w:val="none"/>
        </w:rPr>
        <w:t>控制价</w:t>
      </w:r>
      <w:bookmarkEnd w:id="441"/>
      <w:bookmarkEnd w:id="442"/>
      <w:r>
        <w:rPr>
          <w:rFonts w:hint="eastAsia" w:ascii="仿宋" w:hAnsi="仿宋" w:eastAsia="仿宋" w:cs="仿宋"/>
          <w:bCs/>
          <w:color w:val="auto"/>
          <w:sz w:val="21"/>
          <w:szCs w:val="21"/>
          <w:highlight w:val="none"/>
        </w:rPr>
        <w:t>详见《交通安全设施专业分包采购清单》。</w:t>
      </w:r>
    </w:p>
    <w:p w14:paraId="1D85755B">
      <w:pPr>
        <w:widowControl w:val="0"/>
        <w:numPr>
          <w:ilvl w:val="0"/>
          <w:numId w:val="11"/>
        </w:numPr>
        <w:tabs>
          <w:tab w:val="left" w:pos="567"/>
          <w:tab w:val="left" w:pos="709"/>
        </w:tabs>
        <w:spacing w:after="78" w:line="360" w:lineRule="auto"/>
        <w:ind w:left="0" w:firstLine="567"/>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本项目采用固定综合单价计价方式，该综合单价包括但不限于为实施和完成工程项目所需的劳务、材料、机械、质检（自检）、安装、缺陷修复、管理、利润、保险、措施费（含交通疏解费）、规费、税金等一切费用，以及合同明示或暗示的所有责任、义务和一切风险，且合同期内不予调整。</w:t>
      </w:r>
    </w:p>
    <w:p w14:paraId="71222B5A">
      <w:pPr>
        <w:widowControl w:val="0"/>
        <w:numPr>
          <w:ilvl w:val="0"/>
          <w:numId w:val="11"/>
        </w:numPr>
        <w:tabs>
          <w:tab w:val="left" w:pos="567"/>
          <w:tab w:val="left" w:pos="709"/>
        </w:tabs>
        <w:spacing w:after="78" w:line="360" w:lineRule="auto"/>
        <w:ind w:left="0" w:firstLine="567"/>
        <w:jc w:val="both"/>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本项目为专业分包，投标单位须自行处理实施过程中涉及与相关政府职能部门、项目技术咨询服务单位、业主单位沟通协调，费用已包含在投标报价内。</w:t>
      </w:r>
    </w:p>
    <w:p w14:paraId="14552322">
      <w:pPr>
        <w:widowControl w:val="0"/>
        <w:numPr>
          <w:ilvl w:val="0"/>
          <w:numId w:val="11"/>
        </w:numPr>
        <w:tabs>
          <w:tab w:val="left" w:pos="567"/>
          <w:tab w:val="left" w:pos="709"/>
        </w:tabs>
        <w:spacing w:line="360" w:lineRule="auto"/>
        <w:ind w:left="0" w:firstLine="567" w:firstLineChars="0"/>
        <w:jc w:val="both"/>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投标人应充分考虑本工程特点及其它的风险因素，依据本工程招标文件的具体要求，并对本工程进行详细了解，根据本企业自身情况，充分考虑各影响因素后进行报价。</w:t>
      </w:r>
    </w:p>
    <w:p w14:paraId="4B712CF7">
      <w:pPr>
        <w:widowControl w:val="0"/>
        <w:numPr>
          <w:ilvl w:val="0"/>
          <w:numId w:val="11"/>
        </w:numPr>
        <w:tabs>
          <w:tab w:val="left" w:pos="567"/>
          <w:tab w:val="left" w:pos="709"/>
        </w:tabs>
        <w:spacing w:line="360" w:lineRule="auto"/>
        <w:ind w:left="0" w:firstLine="567" w:firstLineChars="0"/>
        <w:jc w:val="both"/>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投标人应充分考虑市场价格波动风险，本项目合同履约期间不接受调价。</w:t>
      </w:r>
    </w:p>
    <w:p w14:paraId="287A488E">
      <w:pPr>
        <w:widowControl w:val="0"/>
        <w:numPr>
          <w:ilvl w:val="0"/>
          <w:numId w:val="11"/>
        </w:numPr>
        <w:tabs>
          <w:tab w:val="left" w:pos="567"/>
          <w:tab w:val="left" w:pos="709"/>
        </w:tabs>
        <w:spacing w:line="360" w:lineRule="auto"/>
        <w:ind w:left="0" w:firstLine="567" w:firstLineChars="0"/>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投标人不得以低于成本的报价竞标；评标委员会认为投标人的报价明显低于其他通过符合性审查投标人的报价，有可能影响服务质量或者不能诚信履约的，应当要求其在合理的时间内提供书面说明，必要时提交相关证明材料，投标人不能证明其报价合理性的，评标委员会应当将其作为无效投标处理。</w:t>
      </w:r>
    </w:p>
    <w:p w14:paraId="4B9E4310">
      <w:pPr>
        <w:widowControl w:val="0"/>
        <w:numPr>
          <w:ilvl w:val="0"/>
          <w:numId w:val="11"/>
        </w:numPr>
        <w:tabs>
          <w:tab w:val="left" w:pos="567"/>
          <w:tab w:val="left" w:pos="709"/>
        </w:tabs>
        <w:spacing w:after="78" w:line="360" w:lineRule="auto"/>
        <w:ind w:left="0" w:firstLine="567"/>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投标人必须同时填报“投标报价”和“增值税率”（投标报价=1-投标下浮率）。“投标报价”和“增值税率”缺填、漏填、错填一项及以上的，将直接作投标无效处理</w:t>
      </w:r>
      <w:r>
        <w:rPr>
          <w:rFonts w:hint="eastAsia" w:ascii="仿宋" w:hAnsi="仿宋" w:eastAsia="仿宋" w:cs="仿宋"/>
          <w:bCs/>
          <w:color w:val="auto"/>
          <w:kern w:val="0"/>
          <w:sz w:val="21"/>
          <w:szCs w:val="21"/>
          <w:highlight w:val="none"/>
        </w:rPr>
        <w:t>；</w:t>
      </w:r>
    </w:p>
    <w:p w14:paraId="6F94188D">
      <w:pPr>
        <w:widowControl w:val="0"/>
        <w:numPr>
          <w:ilvl w:val="0"/>
          <w:numId w:val="11"/>
        </w:numPr>
        <w:tabs>
          <w:tab w:val="left" w:pos="567"/>
          <w:tab w:val="left" w:pos="709"/>
        </w:tabs>
        <w:spacing w:after="0" w:afterLines="0" w:line="360" w:lineRule="auto"/>
        <w:ind w:left="0" w:firstLine="567"/>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投标报价为1-投标下浮率，例如：投标人的下浮率为30%，那么投标报价=1-投标下浮率（30%）=0.700；填写的投标报价应为三位小数，若不足三位小数，默认后面不足部分为零，例如0.690、0.691等；</w:t>
      </w:r>
    </w:p>
    <w:p w14:paraId="37E318D1">
      <w:pPr>
        <w:pStyle w:val="288"/>
        <w:tabs>
          <w:tab w:val="left" w:pos="1140"/>
        </w:tabs>
        <w:spacing w:beforeLines="0" w:line="360" w:lineRule="auto"/>
        <w:ind w:firstLine="567" w:firstLineChars="0"/>
        <w:outlineLvl w:val="9"/>
        <w:rPr>
          <w:rFonts w:hint="eastAsia" w:ascii="宋体" w:hAnsi="宋体" w:eastAsia="宋体" w:cs="Times New Roman"/>
          <w:bCs/>
          <w:color w:val="auto"/>
          <w:kern w:val="2"/>
          <w:sz w:val="24"/>
          <w:szCs w:val="24"/>
          <w:highlight w:val="none"/>
          <w:lang w:val="en-US" w:eastAsia="zh-CN" w:bidi="ar-SA"/>
        </w:rPr>
      </w:pPr>
      <w:r>
        <w:rPr>
          <w:rFonts w:hint="eastAsia" w:ascii="仿宋" w:hAnsi="仿宋" w:eastAsia="仿宋" w:cs="仿宋"/>
          <w:bCs/>
          <w:color w:val="auto"/>
          <w:kern w:val="2"/>
          <w:sz w:val="21"/>
          <w:szCs w:val="21"/>
          <w:highlight w:val="none"/>
          <w:lang w:val="en-US" w:eastAsia="zh-CN" w:bidi="ar-SA"/>
        </w:rPr>
        <w:t>9.增值税率填写要求：在%前填写整数；投标人参与投标只允许填报唯一1个“投标报价”和1个“增值税率”，填报了2个或以上“投标报价”和“增值税率”的，其投标将直接作投标无效处理</w:t>
      </w:r>
      <w:r>
        <w:rPr>
          <w:rFonts w:hint="eastAsia" w:ascii="宋体" w:hAnsi="宋体" w:eastAsia="宋体" w:cs="Times New Roman"/>
          <w:bCs/>
          <w:color w:val="auto"/>
          <w:kern w:val="2"/>
          <w:sz w:val="24"/>
          <w:szCs w:val="24"/>
          <w:highlight w:val="none"/>
          <w:lang w:val="en-US" w:eastAsia="zh-CN" w:bidi="ar-SA"/>
        </w:rPr>
        <w:t>。</w:t>
      </w:r>
      <w:bookmarkEnd w:id="440"/>
      <w:bookmarkStart w:id="443" w:name="_Toc4624"/>
    </w:p>
    <w:p w14:paraId="4BB4833E">
      <w:pPr>
        <w:pStyle w:val="288"/>
        <w:tabs>
          <w:tab w:val="left" w:pos="1140"/>
        </w:tabs>
        <w:spacing w:line="360" w:lineRule="auto"/>
        <w:ind w:firstLine="0" w:firstLineChars="0"/>
        <w:outlineLvl w:val="2"/>
        <w:rPr>
          <w:rFonts w:hint="eastAsia" w:ascii="仿宋" w:hAnsi="仿宋" w:eastAsia="仿宋" w:cs="仿宋"/>
          <w:b/>
          <w:bCs/>
          <w:sz w:val="21"/>
          <w:szCs w:val="21"/>
          <w:highlight w:val="none"/>
        </w:rPr>
      </w:pPr>
      <w:bookmarkStart w:id="444" w:name="_Toc24997"/>
      <w:bookmarkStart w:id="445" w:name="_Toc17781"/>
      <w:bookmarkStart w:id="446" w:name="_Toc21550"/>
      <w:r>
        <w:rPr>
          <w:rFonts w:hint="eastAsia" w:ascii="仿宋" w:hAnsi="仿宋" w:eastAsia="仿宋" w:cs="仿宋"/>
          <w:bCs/>
          <w:sz w:val="21"/>
          <w:szCs w:val="21"/>
          <w:highlight w:val="none"/>
          <w:lang w:val="en-US" w:eastAsia="zh-CN"/>
        </w:rPr>
        <w:t>三、</w:t>
      </w:r>
      <w:bookmarkStart w:id="447" w:name="_Toc14432"/>
      <w:r>
        <w:rPr>
          <w:rFonts w:hint="eastAsia" w:ascii="仿宋" w:hAnsi="仿宋" w:eastAsia="仿宋" w:cs="仿宋"/>
          <w:b/>
          <w:bCs/>
          <w:sz w:val="21"/>
          <w:szCs w:val="21"/>
          <w:highlight w:val="none"/>
        </w:rPr>
        <w:t>★</w:t>
      </w:r>
      <w:r>
        <w:rPr>
          <w:rFonts w:hint="eastAsia" w:ascii="仿宋" w:hAnsi="仿宋" w:eastAsia="仿宋" w:cs="仿宋"/>
          <w:b/>
          <w:bCs/>
          <w:i w:val="0"/>
          <w:sz w:val="21"/>
          <w:szCs w:val="21"/>
          <w:highlight w:val="none"/>
        </w:rPr>
        <w:t>商务要求</w:t>
      </w:r>
      <w:bookmarkEnd w:id="443"/>
      <w:bookmarkEnd w:id="444"/>
      <w:bookmarkEnd w:id="445"/>
      <w:bookmarkEnd w:id="446"/>
      <w:bookmarkEnd w:id="447"/>
    </w:p>
    <w:p w14:paraId="562BB44D">
      <w:pPr>
        <w:pStyle w:val="288"/>
        <w:numPr>
          <w:ilvl w:val="0"/>
          <w:numId w:val="0"/>
        </w:numPr>
        <w:tabs>
          <w:tab w:val="left" w:pos="1140"/>
        </w:tabs>
        <w:spacing w:line="300" w:lineRule="auto"/>
        <w:ind w:firstLine="211" w:firstLineChars="100"/>
        <w:jc w:val="left"/>
        <w:outlineLvl w:val="9"/>
        <w:rPr>
          <w:rFonts w:hint="eastAsia" w:ascii="仿宋" w:hAnsi="仿宋" w:eastAsia="仿宋" w:cs="仿宋"/>
          <w:b/>
          <w:bCs/>
          <w:color w:val="auto"/>
          <w:sz w:val="21"/>
          <w:szCs w:val="21"/>
          <w:highlight w:val="none"/>
        </w:rPr>
      </w:pPr>
      <w:bookmarkStart w:id="448" w:name="_Toc22384"/>
      <w:bookmarkStart w:id="449" w:name="_Toc20259"/>
      <w:r>
        <w:rPr>
          <w:rFonts w:hint="eastAsia" w:ascii="仿宋" w:hAnsi="仿宋" w:eastAsia="仿宋" w:cs="仿宋"/>
          <w:b/>
          <w:bCs/>
          <w:sz w:val="21"/>
          <w:szCs w:val="21"/>
          <w:highlight w:val="none"/>
        </w:rPr>
        <w:t>★</w:t>
      </w:r>
      <w:r>
        <w:rPr>
          <w:rFonts w:hint="eastAsia" w:ascii="仿宋" w:hAnsi="仿宋" w:eastAsia="仿宋" w:cs="仿宋"/>
          <w:b/>
          <w:bCs/>
          <w:color w:val="auto"/>
          <w:sz w:val="21"/>
          <w:szCs w:val="21"/>
          <w:highlight w:val="none"/>
          <w:lang w:val="en-US" w:eastAsia="zh-CN"/>
        </w:rPr>
        <w:t>（一）服</w:t>
      </w:r>
      <w:r>
        <w:rPr>
          <w:rFonts w:hint="eastAsia" w:ascii="仿宋" w:hAnsi="仿宋" w:eastAsia="仿宋" w:cs="仿宋"/>
          <w:b/>
          <w:bCs/>
          <w:color w:val="auto"/>
          <w:sz w:val="21"/>
          <w:szCs w:val="21"/>
          <w:highlight w:val="none"/>
        </w:rPr>
        <w:t>务期限</w:t>
      </w:r>
      <w:bookmarkEnd w:id="448"/>
    </w:p>
    <w:p w14:paraId="5326290F">
      <w:pPr>
        <w:tabs>
          <w:tab w:val="left" w:pos="1140"/>
        </w:tabs>
        <w:spacing w:line="360" w:lineRule="auto"/>
        <w:ind w:firstLine="420" w:firstLineChars="200"/>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自合同签订之日起一年。</w:t>
      </w:r>
    </w:p>
    <w:p w14:paraId="19AF0EAC">
      <w:pPr>
        <w:tabs>
          <w:tab w:val="left" w:pos="1140"/>
        </w:tabs>
        <w:spacing w:line="360" w:lineRule="auto"/>
        <w:ind w:firstLine="420" w:firstLineChars="200"/>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本项目的合同履行截止日期最长不超过2026年12月31日，合同一年一签。第一年为本项目的合同期限，第一年合同期限满后，招标人根据业主单位是否续签日常养护合同情况及中标人的合同履约情况确定是否续签合同，但续签合同日期最长不超过2026年12月31日(招标人有权要求中标人服务至招标人2026 年度养护合同任务实际完成为止)，招标人决定续签的，中标人无约定事由，不得拒绝续签合同。</w:t>
      </w:r>
    </w:p>
    <w:p w14:paraId="17E82266">
      <w:pPr>
        <w:pStyle w:val="288"/>
        <w:numPr>
          <w:ilvl w:val="0"/>
          <w:numId w:val="0"/>
        </w:numPr>
        <w:spacing w:line="300" w:lineRule="auto"/>
        <w:ind w:firstLine="211" w:firstLineChars="100"/>
        <w:jc w:val="left"/>
        <w:outlineLvl w:val="9"/>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sz w:val="21"/>
          <w:szCs w:val="21"/>
          <w:highlight w:val="none"/>
        </w:rPr>
        <w:t>★</w:t>
      </w:r>
      <w:r>
        <w:rPr>
          <w:rFonts w:hint="eastAsia" w:ascii="仿宋" w:hAnsi="仿宋" w:eastAsia="仿宋" w:cs="仿宋"/>
          <w:b/>
          <w:bCs/>
          <w:color w:val="auto"/>
          <w:sz w:val="21"/>
          <w:szCs w:val="21"/>
          <w:highlight w:val="none"/>
          <w:lang w:val="en-US" w:eastAsia="zh-CN"/>
        </w:rPr>
        <w:t>（二）</w:t>
      </w:r>
      <w:r>
        <w:rPr>
          <w:rFonts w:hint="eastAsia" w:ascii="仿宋" w:hAnsi="仿宋" w:eastAsia="仿宋" w:cs="仿宋"/>
          <w:b/>
          <w:bCs/>
          <w:color w:val="auto"/>
          <w:kern w:val="2"/>
          <w:sz w:val="21"/>
          <w:szCs w:val="21"/>
          <w:highlight w:val="none"/>
          <w:lang w:val="en-US" w:eastAsia="zh-CN" w:bidi="ar-SA"/>
        </w:rPr>
        <w:t>结算方式及工程款支付</w:t>
      </w:r>
    </w:p>
    <w:p w14:paraId="0477A313">
      <w:pPr>
        <w:spacing w:line="360" w:lineRule="auto"/>
        <w:ind w:firstLine="417" w:firstLineChars="198"/>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结算方式</w:t>
      </w:r>
    </w:p>
    <w:p w14:paraId="3563135E">
      <w:pPr>
        <w:spacing w:line="360" w:lineRule="auto"/>
        <w:ind w:firstLine="415" w:firstLineChars="198"/>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1.结算数量：</w:t>
      </w:r>
    </w:p>
    <w:p w14:paraId="5F1043DC">
      <w:pPr>
        <w:spacing w:line="360" w:lineRule="auto"/>
        <w:ind w:firstLine="415" w:firstLineChars="198"/>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保养项目以经</w:t>
      </w:r>
      <w:r>
        <w:rPr>
          <w:rFonts w:hint="eastAsia" w:ascii="仿宋" w:hAnsi="仿宋" w:eastAsia="仿宋" w:cs="仿宋"/>
          <w:color w:val="auto"/>
          <w:sz w:val="21"/>
          <w:szCs w:val="21"/>
          <w:highlight w:val="none"/>
          <w:lang w:eastAsia="zh-CN"/>
        </w:rPr>
        <w:t>招标人</w:t>
      </w:r>
      <w:r>
        <w:rPr>
          <w:rFonts w:hint="eastAsia" w:ascii="仿宋" w:hAnsi="仿宋" w:eastAsia="仿宋" w:cs="仿宋"/>
          <w:color w:val="auto"/>
          <w:sz w:val="21"/>
          <w:szCs w:val="21"/>
          <w:highlight w:val="none"/>
        </w:rPr>
        <w:t>与中标人双方确认的工程数量为结算数量；</w:t>
      </w:r>
    </w:p>
    <w:p w14:paraId="6A0EDAE5">
      <w:pPr>
        <w:spacing w:line="360" w:lineRule="auto"/>
        <w:ind w:firstLine="415" w:firstLineChars="198"/>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抢修及小修项目由中标人对具体项目进行组价并上报智慧管养平台（https://zhgy.gcnao.cn），以智慧管养平台完成验收，履约及督查考核合格，并经</w:t>
      </w:r>
      <w:r>
        <w:rPr>
          <w:rFonts w:hint="eastAsia" w:ascii="仿宋" w:hAnsi="仿宋" w:eastAsia="仿宋" w:cs="仿宋"/>
          <w:color w:val="auto"/>
          <w:sz w:val="21"/>
          <w:szCs w:val="21"/>
          <w:highlight w:val="none"/>
          <w:lang w:eastAsia="zh-CN"/>
        </w:rPr>
        <w:t>招标人</w:t>
      </w:r>
      <w:r>
        <w:rPr>
          <w:rFonts w:hint="eastAsia" w:ascii="仿宋" w:hAnsi="仿宋" w:eastAsia="仿宋" w:cs="仿宋"/>
          <w:color w:val="auto"/>
          <w:sz w:val="21"/>
          <w:szCs w:val="21"/>
          <w:highlight w:val="none"/>
        </w:rPr>
        <w:t>业主单位委托的第三方咨询单位审核的工程数量为结算数量。</w:t>
      </w:r>
    </w:p>
    <w:p w14:paraId="4392498D">
      <w:pPr>
        <w:spacing w:line="360" w:lineRule="auto"/>
        <w:ind w:firstLine="415" w:firstLineChars="198"/>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2.合同单价=</w:t>
      </w:r>
      <w:r>
        <w:rPr>
          <w:rFonts w:hint="eastAsia" w:ascii="仿宋" w:hAnsi="仿宋" w:eastAsia="仿宋" w:cs="仿宋"/>
          <w:color w:val="auto"/>
          <w:sz w:val="21"/>
          <w:szCs w:val="21"/>
          <w:highlight w:val="none"/>
          <w:lang w:eastAsia="zh-CN"/>
        </w:rPr>
        <w:t>招标控制价</w:t>
      </w:r>
      <w:r>
        <w:rPr>
          <w:rFonts w:hint="eastAsia" w:ascii="仿宋" w:hAnsi="仿宋" w:eastAsia="仿宋" w:cs="仿宋"/>
          <w:color w:val="auto"/>
          <w:sz w:val="21"/>
          <w:szCs w:val="21"/>
          <w:highlight w:val="none"/>
        </w:rPr>
        <w:t>×中标价×（1+中标人增值税率）。</w:t>
      </w:r>
    </w:p>
    <w:p w14:paraId="6BF8A6E4">
      <w:pPr>
        <w:spacing w:line="360" w:lineRule="auto"/>
        <w:ind w:firstLine="415" w:firstLineChars="198"/>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3.结算总价=结算数量×合同单价。</w:t>
      </w:r>
    </w:p>
    <w:p w14:paraId="121C3999">
      <w:pPr>
        <w:pStyle w:val="2"/>
        <w:tabs>
          <w:tab w:val="left" w:pos="562"/>
          <w:tab w:val="left" w:pos="3372"/>
          <w:tab w:val="left" w:pos="3653"/>
        </w:tabs>
        <w:spacing w:line="360" w:lineRule="auto"/>
        <w:ind w:firstLine="420" w:firstLineChars="200"/>
        <w:rPr>
          <w:rFonts w:hint="eastAsia" w:ascii="仿宋" w:hAnsi="仿宋" w:eastAsia="仿宋" w:cs="仿宋"/>
          <w:bCs/>
          <w:kern w:val="2"/>
          <w:sz w:val="21"/>
          <w:szCs w:val="21"/>
          <w:highlight w:val="none"/>
          <w:lang w:val="en-US" w:eastAsia="zh-CN" w:bidi="ar-SA"/>
        </w:rPr>
      </w:pPr>
      <w:r>
        <w:rPr>
          <w:rFonts w:hint="eastAsia" w:ascii="仿宋" w:hAnsi="仿宋" w:eastAsia="仿宋" w:cs="仿宋"/>
          <w:bCs/>
          <w:kern w:val="2"/>
          <w:sz w:val="21"/>
          <w:szCs w:val="21"/>
          <w:highlight w:val="none"/>
          <w:lang w:val="en-US" w:eastAsia="zh-CN" w:bidi="ar-SA"/>
        </w:rPr>
        <w:t>特别提醒：中标人均应向招标人提供正规足额增值税专用发票，由招标人按照财政集中支付程序或业主单位支付程序办理支付手续并在拨款到位后支付，招标人在约定期限内向财政部门或业主单位提交支付申请，即视为按时支付；中标人同时因遵守招标人的相关结算制度并提供由双方确认的相关结算材料。因中标人原因或财政集中支付程序、业主单位财政程序导致付款延迟的，招标人不承担任何责任，中标人应继续履行合同义务。</w:t>
      </w:r>
    </w:p>
    <w:p w14:paraId="18540ECE">
      <w:pPr>
        <w:spacing w:line="360" w:lineRule="auto"/>
        <w:ind w:firstLine="417" w:firstLineChars="198"/>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工程款支付</w:t>
      </w:r>
    </w:p>
    <w:p w14:paraId="696602EA">
      <w:pPr>
        <w:pStyle w:val="288"/>
        <w:tabs>
          <w:tab w:val="left" w:pos="1140"/>
        </w:tabs>
        <w:spacing w:line="360" w:lineRule="auto"/>
        <w:ind w:firstLine="480"/>
        <w:rPr>
          <w:rFonts w:hint="eastAsia" w:ascii="仿宋" w:hAnsi="仿宋" w:eastAsia="仿宋" w:cs="仿宋"/>
          <w:bCs/>
          <w:sz w:val="21"/>
          <w:szCs w:val="21"/>
          <w:highlight w:val="none"/>
          <w:lang w:val="en-US" w:eastAsia="zh-CN"/>
        </w:rPr>
      </w:pPr>
      <w:r>
        <w:rPr>
          <w:rFonts w:hint="eastAsia" w:ascii="仿宋" w:hAnsi="仿宋" w:eastAsia="仿宋" w:cs="仿宋"/>
          <w:bCs/>
          <w:sz w:val="21"/>
          <w:szCs w:val="21"/>
          <w:highlight w:val="none"/>
          <w:lang w:val="en-US" w:eastAsia="zh-CN"/>
        </w:rPr>
        <w:t>1、本项目不设工程预付款。</w:t>
      </w:r>
    </w:p>
    <w:p w14:paraId="1EAFEDF4">
      <w:pPr>
        <w:pStyle w:val="288"/>
        <w:tabs>
          <w:tab w:val="left" w:pos="1140"/>
        </w:tabs>
        <w:spacing w:line="360" w:lineRule="auto"/>
        <w:ind w:firstLine="480"/>
        <w:rPr>
          <w:rFonts w:hint="eastAsia" w:ascii="仿宋" w:hAnsi="仿宋" w:eastAsia="仿宋" w:cs="仿宋"/>
          <w:bCs/>
          <w:sz w:val="21"/>
          <w:szCs w:val="21"/>
          <w:highlight w:val="none"/>
          <w:lang w:val="en-US" w:eastAsia="zh-CN"/>
        </w:rPr>
      </w:pPr>
      <w:r>
        <w:rPr>
          <w:rFonts w:hint="eastAsia" w:ascii="仿宋" w:hAnsi="仿宋" w:eastAsia="仿宋" w:cs="仿宋"/>
          <w:bCs/>
          <w:sz w:val="21"/>
          <w:szCs w:val="21"/>
          <w:highlight w:val="none"/>
          <w:lang w:val="en-US" w:eastAsia="zh-CN"/>
        </w:rPr>
        <w:t>2、招标人按中标人工程进度支付进度款（建设单位工程款项到账不及时等情况除外）：清单内项目按实际完成的工程量计量支付70%；清单外项目单价暂按养护系统申报单价结合招标人在招标文件中提供的招标控制单价编制方法及中标人下浮率下浮后计取，清单外项目按实际完成工程量计量支付50%。</w:t>
      </w:r>
    </w:p>
    <w:p w14:paraId="5E37434B">
      <w:pPr>
        <w:pStyle w:val="288"/>
        <w:tabs>
          <w:tab w:val="left" w:pos="1140"/>
        </w:tabs>
        <w:spacing w:line="360" w:lineRule="auto"/>
        <w:ind w:firstLine="480"/>
        <w:rPr>
          <w:rFonts w:hint="eastAsia" w:ascii="仿宋" w:hAnsi="仿宋" w:eastAsia="仿宋" w:cs="仿宋"/>
          <w:bCs/>
          <w:sz w:val="21"/>
          <w:szCs w:val="21"/>
          <w:highlight w:val="none"/>
          <w:lang w:val="en-US" w:eastAsia="zh-CN"/>
        </w:rPr>
      </w:pPr>
      <w:r>
        <w:rPr>
          <w:rFonts w:hint="eastAsia" w:ascii="仿宋" w:hAnsi="仿宋" w:eastAsia="仿宋" w:cs="仿宋"/>
          <w:bCs/>
          <w:sz w:val="21"/>
          <w:szCs w:val="21"/>
          <w:highlight w:val="none"/>
          <w:lang w:val="en-US" w:eastAsia="zh-CN"/>
        </w:rPr>
        <w:t>3、计量时分包单位需要提供招标人规定的书面材料（包括规定的表格、报表、现场照片要求等）并由项目部确认后，按确认后实际完成的工程量计量。</w:t>
      </w:r>
    </w:p>
    <w:p w14:paraId="5857B3DB">
      <w:pPr>
        <w:pStyle w:val="288"/>
        <w:tabs>
          <w:tab w:val="left" w:pos="1140"/>
        </w:tabs>
        <w:spacing w:line="360" w:lineRule="auto"/>
        <w:ind w:firstLine="480"/>
        <w:rPr>
          <w:rFonts w:hint="eastAsia" w:ascii="仿宋" w:hAnsi="仿宋" w:eastAsia="仿宋" w:cs="仿宋"/>
          <w:bCs/>
          <w:sz w:val="21"/>
          <w:szCs w:val="21"/>
          <w:highlight w:val="none"/>
          <w:lang w:val="en-US" w:eastAsia="zh-CN"/>
        </w:rPr>
      </w:pPr>
      <w:r>
        <w:rPr>
          <w:rFonts w:hint="eastAsia" w:ascii="仿宋" w:hAnsi="仿宋" w:eastAsia="仿宋" w:cs="仿宋"/>
          <w:bCs/>
          <w:sz w:val="21"/>
          <w:szCs w:val="21"/>
          <w:highlight w:val="none"/>
          <w:lang w:val="en-US" w:eastAsia="zh-CN"/>
        </w:rPr>
        <w:t>4、本项目设有履约保证金，各中标人需向招标人以现金形式缴纳履约保证金（人民币10万元）。</w:t>
      </w:r>
    </w:p>
    <w:p w14:paraId="54437C3F">
      <w:pPr>
        <w:pStyle w:val="288"/>
        <w:tabs>
          <w:tab w:val="left" w:pos="1140"/>
        </w:tabs>
        <w:spacing w:line="360" w:lineRule="auto"/>
        <w:ind w:firstLine="480"/>
        <w:rPr>
          <w:rFonts w:hint="eastAsia" w:ascii="仿宋" w:hAnsi="仿宋" w:eastAsia="仿宋" w:cs="仿宋"/>
          <w:bCs/>
          <w:sz w:val="21"/>
          <w:szCs w:val="21"/>
          <w:highlight w:val="none"/>
          <w:lang w:val="en-US" w:eastAsia="zh-CN"/>
        </w:rPr>
      </w:pPr>
      <w:r>
        <w:rPr>
          <w:rFonts w:hint="eastAsia" w:ascii="仿宋" w:hAnsi="仿宋" w:eastAsia="仿宋" w:cs="仿宋"/>
          <w:bCs/>
          <w:sz w:val="21"/>
          <w:szCs w:val="21"/>
          <w:highlight w:val="none"/>
          <w:lang w:val="en-US" w:eastAsia="zh-CN"/>
        </w:rPr>
        <w:t>5、本项目完工后，结算经招标人业主单位委托第三方咨询公司审核并经招标人业主单位确认后办理余款支付，招标人在收到中标人的结算支付资料后，经招标人审核及双方确认后支付至结算金额的97%至中标人，剩余3%作为质量保证金，待质保期满后按规定支付。中标人在取得招标人开具的履约合格证明的前提下，履约保证金待合同期满10个工作日内无息付清。</w:t>
      </w:r>
    </w:p>
    <w:p w14:paraId="71F6D202">
      <w:pPr>
        <w:pStyle w:val="288"/>
        <w:tabs>
          <w:tab w:val="left" w:pos="1140"/>
        </w:tabs>
        <w:spacing w:line="360" w:lineRule="auto"/>
        <w:ind w:firstLine="480"/>
        <w:rPr>
          <w:rFonts w:hint="eastAsia" w:ascii="仿宋" w:hAnsi="仿宋" w:eastAsia="仿宋" w:cs="仿宋"/>
          <w:bCs/>
          <w:sz w:val="21"/>
          <w:szCs w:val="21"/>
          <w:highlight w:val="none"/>
          <w:lang w:val="en-US" w:eastAsia="zh-CN"/>
        </w:rPr>
      </w:pPr>
      <w:r>
        <w:rPr>
          <w:rFonts w:hint="eastAsia" w:ascii="仿宋" w:hAnsi="仿宋" w:eastAsia="仿宋" w:cs="仿宋"/>
          <w:bCs/>
          <w:sz w:val="21"/>
          <w:szCs w:val="21"/>
          <w:highlight w:val="none"/>
          <w:lang w:val="en-US" w:eastAsia="zh-CN"/>
        </w:rPr>
        <w:t>6、 招标人采用【银行转账、承兑汇票、电子商票、供应链融资等】方式向中标人支付工程费用,如涉及贴息费用，贴息费用由中标人承担。</w:t>
      </w:r>
    </w:p>
    <w:p w14:paraId="4D7376B8">
      <w:pPr>
        <w:pStyle w:val="288"/>
        <w:numPr>
          <w:ilvl w:val="0"/>
          <w:numId w:val="0"/>
        </w:numPr>
        <w:spacing w:line="300" w:lineRule="auto"/>
        <w:ind w:firstLine="211" w:firstLineChars="100"/>
        <w:jc w:val="left"/>
        <w:outlineLvl w:val="9"/>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sz w:val="21"/>
          <w:szCs w:val="21"/>
          <w:highlight w:val="none"/>
        </w:rPr>
        <w:t>★</w:t>
      </w:r>
      <w:r>
        <w:rPr>
          <w:rFonts w:hint="eastAsia" w:ascii="仿宋" w:hAnsi="仿宋" w:eastAsia="仿宋" w:cs="仿宋"/>
          <w:b/>
          <w:bCs/>
          <w:color w:val="auto"/>
          <w:kern w:val="2"/>
          <w:sz w:val="21"/>
          <w:szCs w:val="21"/>
          <w:highlight w:val="none"/>
          <w:lang w:val="en-US" w:eastAsia="zh-CN" w:bidi="ar-SA"/>
        </w:rPr>
        <w:t>（三）中标价的确定</w:t>
      </w:r>
    </w:p>
    <w:p w14:paraId="280CA0C5">
      <w:pPr>
        <w:tabs>
          <w:tab w:val="left" w:pos="1140"/>
        </w:tabs>
        <w:spacing w:line="360" w:lineRule="auto"/>
        <w:ind w:left="420" w:leftChars="200" w:firstLine="205" w:firstLineChars="98"/>
        <w:outlineLvl w:val="9"/>
        <w:rPr>
          <w:rFonts w:hint="eastAsia" w:ascii="仿宋" w:hAnsi="仿宋" w:eastAsia="仿宋" w:cs="仿宋"/>
          <w:b/>
          <w:bCs/>
          <w:color w:val="auto"/>
          <w:kern w:val="2"/>
          <w:sz w:val="21"/>
          <w:szCs w:val="21"/>
          <w:highlight w:val="none"/>
          <w:shd w:val="pct10" w:color="auto" w:fill="FFFFFF"/>
          <w:lang w:val="en-US" w:eastAsia="zh-CN" w:bidi="ar-SA"/>
        </w:rPr>
      </w:pPr>
      <w:r>
        <w:rPr>
          <w:rFonts w:hint="eastAsia" w:ascii="仿宋" w:hAnsi="仿宋" w:eastAsia="仿宋" w:cs="仿宋"/>
          <w:color w:val="auto"/>
          <w:kern w:val="2"/>
          <w:sz w:val="21"/>
          <w:szCs w:val="21"/>
          <w:highlight w:val="none"/>
          <w:lang w:val="en-US" w:eastAsia="zh-CN" w:bidi="ar-SA"/>
        </w:rPr>
        <w:t>中标价=所有中标候选人的评审报价的算术平均值</w:t>
      </w:r>
      <w:r>
        <w:rPr>
          <w:rFonts w:hint="eastAsia" w:ascii="仿宋" w:hAnsi="仿宋" w:eastAsia="仿宋" w:cs="仿宋"/>
          <w:b/>
          <w:color w:val="auto"/>
          <w:kern w:val="2"/>
          <w:sz w:val="21"/>
          <w:szCs w:val="21"/>
          <w:highlight w:val="none"/>
          <w:lang w:val="en-US" w:eastAsia="zh-CN" w:bidi="ar-SA"/>
        </w:rPr>
        <w:t>。</w:t>
      </w:r>
    </w:p>
    <w:p w14:paraId="552A5183">
      <w:pPr>
        <w:numPr>
          <w:ilvl w:val="-1"/>
          <w:numId w:val="0"/>
        </w:numPr>
        <w:tabs>
          <w:tab w:val="left" w:pos="1140"/>
        </w:tabs>
        <w:spacing w:line="360" w:lineRule="auto"/>
        <w:ind w:left="0" w:firstLine="0" w:firstLineChars="0"/>
        <w:outlineLvl w:val="9"/>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sz w:val="21"/>
          <w:szCs w:val="21"/>
          <w:highlight w:val="none"/>
        </w:rPr>
        <w:t>★</w:t>
      </w:r>
      <w:r>
        <w:rPr>
          <w:rFonts w:hint="eastAsia" w:ascii="仿宋" w:hAnsi="仿宋" w:eastAsia="仿宋" w:cs="仿宋"/>
          <w:b/>
          <w:bCs/>
          <w:color w:val="auto"/>
          <w:kern w:val="2"/>
          <w:sz w:val="21"/>
          <w:szCs w:val="21"/>
          <w:highlight w:val="none"/>
          <w:lang w:val="en-US" w:eastAsia="zh-CN" w:bidi="ar-SA"/>
        </w:rPr>
        <w:t>中标人确定</w:t>
      </w:r>
    </w:p>
    <w:p w14:paraId="7C9D512B">
      <w:pPr>
        <w:numPr>
          <w:ilvl w:val="0"/>
          <w:numId w:val="0"/>
        </w:numPr>
        <w:spacing w:line="360" w:lineRule="auto"/>
        <w:ind w:firstLine="420" w:firstLineChars="200"/>
        <w:rPr>
          <w:rFonts w:hint="eastAsia" w:ascii="仿宋" w:hAnsi="仿宋" w:eastAsia="仿宋" w:cs="仿宋"/>
          <w:szCs w:val="21"/>
          <w:highlight w:val="none"/>
          <w:lang w:val="en-US" w:eastAsia="zh-CN"/>
        </w:rPr>
      </w:pPr>
      <w:r>
        <w:rPr>
          <w:rFonts w:hint="eastAsia" w:ascii="仿宋" w:hAnsi="仿宋" w:eastAsia="仿宋" w:cs="仿宋"/>
          <w:color w:val="auto"/>
          <w:sz w:val="21"/>
          <w:szCs w:val="21"/>
          <w:highlight w:val="none"/>
        </w:rPr>
        <w:t>评标委员会推荐得分排名前</w:t>
      </w:r>
      <w:r>
        <w:rPr>
          <w:rFonts w:hint="eastAsia" w:ascii="仿宋" w:hAnsi="仿宋" w:eastAsia="仿宋" w:cs="仿宋"/>
          <w:color w:val="auto"/>
          <w:sz w:val="21"/>
          <w:szCs w:val="21"/>
          <w:highlight w:val="none"/>
          <w:lang w:val="en-US" w:eastAsia="zh-CN"/>
        </w:rPr>
        <w:t>二</w:t>
      </w:r>
      <w:r>
        <w:rPr>
          <w:rFonts w:hint="eastAsia" w:ascii="仿宋" w:hAnsi="仿宋" w:eastAsia="仿宋" w:cs="仿宋"/>
          <w:color w:val="auto"/>
          <w:sz w:val="21"/>
          <w:szCs w:val="21"/>
          <w:highlight w:val="none"/>
        </w:rPr>
        <w:t>名投标人分别作为第一、第二中标候选人，其中得分第一名为第一中标人，第二名的为第二中标人。若出现得分排名第一名或第二名的投标人放弃中标或中标资格被依法确认无效的，因情况紧急，重新组织采购不能满足</w:t>
      </w:r>
      <w:r>
        <w:rPr>
          <w:rFonts w:hint="eastAsia" w:ascii="仿宋" w:hAnsi="仿宋" w:eastAsia="仿宋" w:cs="仿宋"/>
          <w:color w:val="auto"/>
          <w:sz w:val="21"/>
          <w:szCs w:val="21"/>
          <w:highlight w:val="none"/>
          <w:lang w:eastAsia="zh-CN"/>
        </w:rPr>
        <w:t>招标人</w:t>
      </w:r>
      <w:r>
        <w:rPr>
          <w:rFonts w:hint="eastAsia" w:ascii="仿宋" w:hAnsi="仿宋" w:eastAsia="仿宋" w:cs="仿宋"/>
          <w:color w:val="auto"/>
          <w:sz w:val="21"/>
          <w:szCs w:val="21"/>
          <w:highlight w:val="none"/>
        </w:rPr>
        <w:t>要求时，可按得分排名顺序依次确定第</w:t>
      </w:r>
      <w:r>
        <w:rPr>
          <w:rFonts w:hint="eastAsia" w:ascii="仿宋" w:hAnsi="仿宋" w:eastAsia="仿宋" w:cs="仿宋"/>
          <w:color w:val="auto"/>
          <w:sz w:val="21"/>
          <w:szCs w:val="21"/>
          <w:highlight w:val="none"/>
          <w:lang w:val="en-US" w:eastAsia="zh-CN"/>
        </w:rPr>
        <w:t>三</w:t>
      </w:r>
      <w:r>
        <w:rPr>
          <w:rFonts w:hint="eastAsia" w:ascii="仿宋" w:hAnsi="仿宋" w:eastAsia="仿宋" w:cs="仿宋"/>
          <w:color w:val="auto"/>
          <w:sz w:val="21"/>
          <w:szCs w:val="21"/>
          <w:highlight w:val="none"/>
        </w:rPr>
        <w:t>名投标人为中标人，以此类推。</w:t>
      </w:r>
    </w:p>
    <w:p w14:paraId="5EC7DD9A">
      <w:pPr>
        <w:pStyle w:val="288"/>
        <w:numPr>
          <w:ilvl w:val="0"/>
          <w:numId w:val="0"/>
        </w:numPr>
        <w:spacing w:line="300" w:lineRule="auto"/>
        <w:ind w:firstLine="0" w:firstLineChars="0"/>
        <w:jc w:val="left"/>
        <w:outlineLvl w:val="9"/>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sz w:val="21"/>
          <w:szCs w:val="21"/>
          <w:highlight w:val="none"/>
        </w:rPr>
        <w:t>★</w:t>
      </w:r>
      <w:r>
        <w:rPr>
          <w:rFonts w:hint="eastAsia" w:ascii="仿宋" w:hAnsi="仿宋" w:eastAsia="仿宋" w:cs="仿宋"/>
          <w:b/>
          <w:bCs/>
          <w:color w:val="auto"/>
          <w:kern w:val="2"/>
          <w:sz w:val="21"/>
          <w:szCs w:val="21"/>
          <w:highlight w:val="none"/>
          <w:lang w:val="en-US" w:eastAsia="zh-CN" w:bidi="ar-SA"/>
        </w:rPr>
        <w:t>（四）质量要求</w:t>
      </w:r>
    </w:p>
    <w:p w14:paraId="36A95FC6">
      <w:pPr>
        <w:numPr>
          <w:ilvl w:val="0"/>
          <w:numId w:val="12"/>
        </w:num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工程质量必须符合</w:t>
      </w:r>
      <w:r>
        <w:rPr>
          <w:rFonts w:hint="eastAsia" w:ascii="仿宋" w:hAnsi="仿宋" w:eastAsia="仿宋" w:cs="仿宋"/>
          <w:color w:val="auto"/>
          <w:sz w:val="21"/>
          <w:szCs w:val="21"/>
          <w:highlight w:val="none"/>
          <w:lang w:eastAsia="zh-CN"/>
        </w:rPr>
        <w:t>招标人</w:t>
      </w:r>
      <w:r>
        <w:rPr>
          <w:rFonts w:hint="eastAsia" w:ascii="仿宋" w:hAnsi="仿宋" w:eastAsia="仿宋" w:cs="仿宋"/>
          <w:color w:val="auto"/>
          <w:sz w:val="21"/>
          <w:szCs w:val="21"/>
          <w:highlight w:val="none"/>
        </w:rPr>
        <w:t>与深圳市交通运输局辖区管理局签订的道路设施日常养护合同中的相关要求及《深圳市交通管理设施养护施工标准（试行）》（深圳市交通公用设施管理处2019年12月发布）、《深圳市道路养护施工标准（试行）》（深圳市交通公用设施管理处2019年12月发布）、《深圳市桥梁养护施工标准》（深圳市交通公用设施管理处2019年12月发布）、《深圳市道路交通安全设施维护工程施工图设计图样（2021版）、《道路设施养护履约、督查及绩效考核工作管理制度（2021版）》（深圳市交通运输局2021年5月发布）等深圳市交通运输局对交通安全设施工程的相关要求，在服务期限内，如国家、省、深圳市主管部门及单位对相关规定有调整的，则按新标准执行。</w:t>
      </w:r>
    </w:p>
    <w:p w14:paraId="0D41F0C4">
      <w:pPr>
        <w:numPr>
          <w:ilvl w:val="0"/>
          <w:numId w:val="12"/>
        </w:num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项目的检查、验收等，按照总包合同相应的条款履行。中标人应就分包工程向招标人承担总包合同约定的招标人应承担的义务。中标人应允许并配合招标人、技术咨询服务单位及招标人业主等相关单位进入中标人施工场地检查质量。对检查中提出的隐患或问题按照有关法律、法规、规章制度进行整改，及时消除隐患或问题。中标人应积极配合招标人组织验收。项目竣工验收未能通过，中标人负责修复相应缺陷并承担相应的质量责任。中标人承担自身原因引起的质量事故责任和因此发生的费用。</w:t>
      </w:r>
    </w:p>
    <w:p w14:paraId="707D54E3">
      <w:pPr>
        <w:spacing w:line="360" w:lineRule="auto"/>
        <w:ind w:firstLine="424" w:firstLineChars="202"/>
        <w:rPr>
          <w:rFonts w:hint="eastAsia" w:ascii="仿宋" w:hAnsi="仿宋" w:eastAsia="仿宋" w:cs="仿宋"/>
          <w:sz w:val="21"/>
          <w:szCs w:val="21"/>
          <w:highlight w:val="none"/>
        </w:rPr>
      </w:pPr>
      <w:r>
        <w:rPr>
          <w:rFonts w:hint="eastAsia" w:ascii="仿宋" w:hAnsi="仿宋" w:eastAsia="仿宋" w:cs="仿宋"/>
          <w:sz w:val="21"/>
          <w:szCs w:val="21"/>
          <w:highlight w:val="none"/>
        </w:rPr>
        <w:t>3、</w:t>
      </w:r>
      <w:r>
        <w:rPr>
          <w:rFonts w:hint="eastAsia" w:ascii="仿宋" w:hAnsi="仿宋" w:eastAsia="仿宋" w:cs="仿宋"/>
          <w:sz w:val="21"/>
          <w:szCs w:val="21"/>
          <w:highlight w:val="none"/>
          <w:lang w:eastAsia="zh-CN"/>
        </w:rPr>
        <w:t>招标人</w:t>
      </w:r>
      <w:r>
        <w:rPr>
          <w:rFonts w:hint="eastAsia" w:ascii="仿宋" w:hAnsi="仿宋" w:eastAsia="仿宋" w:cs="仿宋"/>
          <w:sz w:val="21"/>
          <w:szCs w:val="21"/>
          <w:highlight w:val="none"/>
        </w:rPr>
        <w:t>认为材料不符合质量要求，中标人如有异议的，中标人可选择符合深圳市行业要求的第三方检验机构进行检验，</w:t>
      </w:r>
      <w:r>
        <w:rPr>
          <w:rFonts w:hint="eastAsia" w:ascii="仿宋" w:hAnsi="仿宋" w:eastAsia="仿宋" w:cs="仿宋"/>
          <w:sz w:val="21"/>
          <w:szCs w:val="21"/>
          <w:highlight w:val="none"/>
          <w:lang w:eastAsia="zh-CN"/>
        </w:rPr>
        <w:t>招标人</w:t>
      </w:r>
      <w:r>
        <w:rPr>
          <w:rFonts w:hint="eastAsia" w:ascii="仿宋" w:hAnsi="仿宋" w:eastAsia="仿宋" w:cs="仿宋"/>
          <w:sz w:val="21"/>
          <w:szCs w:val="21"/>
          <w:highlight w:val="none"/>
        </w:rPr>
        <w:t>全程参与检验过程。检验结果材料合格的，检验费由</w:t>
      </w:r>
      <w:r>
        <w:rPr>
          <w:rFonts w:hint="eastAsia" w:ascii="仿宋" w:hAnsi="仿宋" w:eastAsia="仿宋" w:cs="仿宋"/>
          <w:sz w:val="21"/>
          <w:szCs w:val="21"/>
          <w:highlight w:val="none"/>
          <w:lang w:eastAsia="zh-CN"/>
        </w:rPr>
        <w:t>招标人</w:t>
      </w:r>
      <w:r>
        <w:rPr>
          <w:rFonts w:hint="eastAsia" w:ascii="仿宋" w:hAnsi="仿宋" w:eastAsia="仿宋" w:cs="仿宋"/>
          <w:sz w:val="21"/>
          <w:szCs w:val="21"/>
          <w:highlight w:val="none"/>
        </w:rPr>
        <w:t>支付；检验结果材料不合格的，检验费由中标人承担。</w:t>
      </w:r>
    </w:p>
    <w:p w14:paraId="32AA23A5">
      <w:pPr>
        <w:pStyle w:val="288"/>
        <w:numPr>
          <w:ilvl w:val="0"/>
          <w:numId w:val="0"/>
        </w:numPr>
        <w:spacing w:line="300" w:lineRule="auto"/>
        <w:ind w:firstLine="211" w:firstLineChars="100"/>
        <w:jc w:val="left"/>
        <w:outlineLvl w:val="9"/>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sz w:val="21"/>
          <w:szCs w:val="21"/>
          <w:highlight w:val="none"/>
        </w:rPr>
        <w:t>★</w:t>
      </w:r>
      <w:r>
        <w:rPr>
          <w:rFonts w:hint="eastAsia" w:ascii="仿宋" w:hAnsi="仿宋" w:eastAsia="仿宋" w:cs="仿宋"/>
          <w:b/>
          <w:bCs/>
          <w:color w:val="auto"/>
          <w:kern w:val="2"/>
          <w:sz w:val="21"/>
          <w:szCs w:val="21"/>
          <w:highlight w:val="none"/>
          <w:lang w:val="en-US" w:eastAsia="zh-CN" w:bidi="ar-SA"/>
        </w:rPr>
        <w:t>（五）完工期</w:t>
      </w:r>
    </w:p>
    <w:p w14:paraId="56819210">
      <w:pPr>
        <w:pStyle w:val="2"/>
        <w:tabs>
          <w:tab w:val="left" w:pos="562"/>
          <w:tab w:val="left" w:pos="3372"/>
          <w:tab w:val="left" w:pos="3653"/>
        </w:tabs>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以辖区管理局及</w:t>
      </w:r>
      <w:r>
        <w:rPr>
          <w:rFonts w:hint="eastAsia" w:ascii="仿宋" w:hAnsi="仿宋" w:eastAsia="仿宋" w:cs="仿宋"/>
          <w:color w:val="auto"/>
          <w:sz w:val="21"/>
          <w:szCs w:val="21"/>
          <w:highlight w:val="none"/>
          <w:lang w:eastAsia="zh-CN"/>
        </w:rPr>
        <w:t>招标人</w:t>
      </w:r>
      <w:r>
        <w:rPr>
          <w:rFonts w:hint="eastAsia" w:ascii="仿宋" w:hAnsi="仿宋" w:eastAsia="仿宋" w:cs="仿宋"/>
          <w:color w:val="auto"/>
          <w:sz w:val="21"/>
          <w:szCs w:val="21"/>
          <w:highlight w:val="none"/>
        </w:rPr>
        <w:t>要求为准。</w:t>
      </w:r>
    </w:p>
    <w:p w14:paraId="5209B7C1">
      <w:pPr>
        <w:pStyle w:val="288"/>
        <w:numPr>
          <w:ilvl w:val="0"/>
          <w:numId w:val="0"/>
        </w:numPr>
        <w:spacing w:line="300" w:lineRule="auto"/>
        <w:ind w:firstLine="211" w:firstLineChars="100"/>
        <w:jc w:val="left"/>
        <w:outlineLvl w:val="9"/>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sz w:val="21"/>
          <w:szCs w:val="21"/>
          <w:highlight w:val="none"/>
        </w:rPr>
        <w:t>★</w:t>
      </w:r>
      <w:r>
        <w:rPr>
          <w:rFonts w:hint="eastAsia" w:ascii="仿宋" w:hAnsi="仿宋" w:eastAsia="仿宋" w:cs="仿宋"/>
          <w:b/>
          <w:bCs/>
          <w:color w:val="auto"/>
          <w:kern w:val="2"/>
          <w:sz w:val="21"/>
          <w:szCs w:val="21"/>
          <w:highlight w:val="none"/>
          <w:lang w:val="en-US" w:eastAsia="zh-CN" w:bidi="ar-SA"/>
        </w:rPr>
        <w:t>（六）合同的授予</w:t>
      </w:r>
    </w:p>
    <w:p w14:paraId="2390FCE6">
      <w:pPr>
        <w:spacing w:after="78"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1.对于中标候选人，中标结果公示3</w:t>
      </w:r>
      <w:r>
        <w:rPr>
          <w:rFonts w:hint="eastAsia" w:ascii="仿宋" w:hAnsi="仿宋" w:eastAsia="仿宋" w:cs="仿宋"/>
          <w:color w:val="auto"/>
          <w:sz w:val="21"/>
          <w:szCs w:val="21"/>
          <w:highlight w:val="none"/>
          <w:lang w:val="en-US" w:eastAsia="zh-CN"/>
        </w:rPr>
        <w:t>个日历</w:t>
      </w:r>
      <w:r>
        <w:rPr>
          <w:rFonts w:hint="eastAsia" w:ascii="仿宋" w:hAnsi="仿宋" w:eastAsia="仿宋" w:cs="仿宋"/>
          <w:color w:val="auto"/>
          <w:sz w:val="21"/>
          <w:szCs w:val="21"/>
          <w:highlight w:val="none"/>
        </w:rPr>
        <w:t>天无异议的，经</w:t>
      </w:r>
      <w:r>
        <w:rPr>
          <w:rFonts w:hint="eastAsia" w:ascii="仿宋" w:hAnsi="仿宋" w:eastAsia="仿宋" w:cs="仿宋"/>
          <w:color w:val="auto"/>
          <w:sz w:val="21"/>
          <w:szCs w:val="21"/>
          <w:highlight w:val="none"/>
          <w:lang w:eastAsia="zh-CN"/>
        </w:rPr>
        <w:t>招标人</w:t>
      </w:r>
      <w:r>
        <w:rPr>
          <w:rFonts w:hint="eastAsia" w:ascii="仿宋" w:hAnsi="仿宋" w:eastAsia="仿宋" w:cs="仿宋"/>
          <w:color w:val="auto"/>
          <w:sz w:val="21"/>
          <w:szCs w:val="21"/>
          <w:highlight w:val="none"/>
        </w:rPr>
        <w:t>确定后发放中标通知书，并在10个工作日内签订采购合同。若中标人不能按时签订合同，或中标人在合同签订后因不及时履约导致</w:t>
      </w:r>
      <w:r>
        <w:rPr>
          <w:rFonts w:hint="eastAsia" w:ascii="仿宋" w:hAnsi="仿宋" w:eastAsia="仿宋" w:cs="仿宋"/>
          <w:color w:val="auto"/>
          <w:sz w:val="21"/>
          <w:szCs w:val="21"/>
          <w:highlight w:val="none"/>
          <w:lang w:eastAsia="zh-CN"/>
        </w:rPr>
        <w:t>招标人</w:t>
      </w:r>
      <w:r>
        <w:rPr>
          <w:rFonts w:hint="eastAsia" w:ascii="仿宋" w:hAnsi="仿宋" w:eastAsia="仿宋" w:cs="仿宋"/>
          <w:color w:val="auto"/>
          <w:sz w:val="21"/>
          <w:szCs w:val="21"/>
          <w:highlight w:val="none"/>
        </w:rPr>
        <w:t>生产不能正常进行，或中标人</w:t>
      </w:r>
      <w:r>
        <w:rPr>
          <w:rFonts w:hint="eastAsia" w:ascii="仿宋" w:hAnsi="仿宋" w:eastAsia="仿宋" w:cs="仿宋"/>
          <w:b/>
          <w:color w:val="auto"/>
          <w:sz w:val="21"/>
          <w:szCs w:val="21"/>
          <w:highlight w:val="none"/>
        </w:rPr>
        <w:t>提供服务不符合采购要求且不能满足</w:t>
      </w:r>
      <w:r>
        <w:rPr>
          <w:rFonts w:hint="eastAsia" w:ascii="仿宋" w:hAnsi="仿宋" w:eastAsia="仿宋" w:cs="仿宋"/>
          <w:b/>
          <w:color w:val="auto"/>
          <w:sz w:val="21"/>
          <w:szCs w:val="21"/>
          <w:highlight w:val="none"/>
          <w:lang w:eastAsia="zh-CN"/>
        </w:rPr>
        <w:t>招标人</w:t>
      </w:r>
      <w:r>
        <w:rPr>
          <w:rFonts w:hint="eastAsia" w:ascii="仿宋" w:hAnsi="仿宋" w:eastAsia="仿宋" w:cs="仿宋"/>
          <w:b/>
          <w:color w:val="auto"/>
          <w:sz w:val="21"/>
          <w:szCs w:val="21"/>
          <w:highlight w:val="none"/>
        </w:rPr>
        <w:t>的上级业主要求的，给予一次整改机会</w:t>
      </w:r>
      <w:r>
        <w:rPr>
          <w:rFonts w:hint="eastAsia" w:ascii="仿宋" w:hAnsi="仿宋" w:eastAsia="仿宋" w:cs="仿宋"/>
          <w:color w:val="auto"/>
          <w:sz w:val="21"/>
          <w:szCs w:val="21"/>
          <w:highlight w:val="none"/>
        </w:rPr>
        <w:t>，整改之后仍无法满足要求的，除按合同约定外，</w:t>
      </w:r>
      <w:r>
        <w:rPr>
          <w:rFonts w:hint="eastAsia" w:ascii="仿宋" w:hAnsi="仿宋" w:eastAsia="仿宋" w:cs="仿宋"/>
          <w:color w:val="auto"/>
          <w:sz w:val="21"/>
          <w:szCs w:val="21"/>
          <w:highlight w:val="none"/>
          <w:lang w:eastAsia="zh-CN"/>
        </w:rPr>
        <w:t>招标人</w:t>
      </w:r>
      <w:r>
        <w:rPr>
          <w:rFonts w:hint="eastAsia" w:ascii="仿宋" w:hAnsi="仿宋" w:eastAsia="仿宋" w:cs="仿宋"/>
          <w:color w:val="auto"/>
          <w:sz w:val="21"/>
          <w:szCs w:val="21"/>
          <w:highlight w:val="none"/>
        </w:rPr>
        <w:t>有权单方面收回已派发任务或停止派发任务，并有权单方面提前解除合同。</w:t>
      </w:r>
    </w:p>
    <w:p w14:paraId="5CB85E19">
      <w:pPr>
        <w:spacing w:after="78"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2.如因中标人原因提前终止合同，严重影响</w:t>
      </w:r>
      <w:r>
        <w:rPr>
          <w:rFonts w:hint="eastAsia" w:ascii="仿宋" w:hAnsi="仿宋" w:eastAsia="仿宋" w:cs="仿宋"/>
          <w:color w:val="auto"/>
          <w:sz w:val="21"/>
          <w:szCs w:val="21"/>
          <w:highlight w:val="none"/>
          <w:lang w:eastAsia="zh-CN"/>
        </w:rPr>
        <w:t>招标人</w:t>
      </w:r>
      <w:r>
        <w:rPr>
          <w:rFonts w:hint="eastAsia" w:ascii="仿宋" w:hAnsi="仿宋" w:eastAsia="仿宋" w:cs="仿宋"/>
          <w:color w:val="auto"/>
          <w:sz w:val="21"/>
          <w:szCs w:val="21"/>
          <w:highlight w:val="none"/>
        </w:rPr>
        <w:t>利益，</w:t>
      </w:r>
      <w:r>
        <w:rPr>
          <w:rFonts w:hint="eastAsia" w:ascii="仿宋" w:hAnsi="仿宋" w:eastAsia="仿宋" w:cs="仿宋"/>
          <w:color w:val="auto"/>
          <w:sz w:val="21"/>
          <w:szCs w:val="21"/>
          <w:highlight w:val="none"/>
          <w:lang w:eastAsia="zh-CN"/>
        </w:rPr>
        <w:t>招标人</w:t>
      </w:r>
      <w:r>
        <w:rPr>
          <w:rFonts w:hint="eastAsia" w:ascii="仿宋" w:hAnsi="仿宋" w:eastAsia="仿宋" w:cs="仿宋"/>
          <w:color w:val="auto"/>
          <w:sz w:val="21"/>
          <w:szCs w:val="21"/>
          <w:highlight w:val="none"/>
        </w:rPr>
        <w:t>有权没收中标人的履约保证金或将履约保证金用于该项目后续工作及质量缺陷修复。</w:t>
      </w:r>
      <w:r>
        <w:rPr>
          <w:rFonts w:hint="eastAsia" w:ascii="仿宋" w:hAnsi="仿宋" w:eastAsia="仿宋" w:cs="仿宋"/>
          <w:color w:val="auto"/>
          <w:sz w:val="21"/>
          <w:szCs w:val="21"/>
          <w:highlight w:val="none"/>
          <w:lang w:eastAsia="zh-CN"/>
        </w:rPr>
        <w:t>招标人</w:t>
      </w:r>
      <w:r>
        <w:rPr>
          <w:rFonts w:hint="eastAsia" w:ascii="仿宋" w:hAnsi="仿宋" w:eastAsia="仿宋" w:cs="仿宋"/>
          <w:color w:val="auto"/>
          <w:sz w:val="21"/>
          <w:szCs w:val="21"/>
          <w:highlight w:val="none"/>
        </w:rPr>
        <w:t>有权拒绝该中标人在后续三年内参加</w:t>
      </w:r>
      <w:r>
        <w:rPr>
          <w:rFonts w:hint="eastAsia" w:ascii="仿宋" w:hAnsi="仿宋" w:eastAsia="仿宋" w:cs="仿宋"/>
          <w:color w:val="auto"/>
          <w:sz w:val="21"/>
          <w:szCs w:val="21"/>
          <w:highlight w:val="none"/>
          <w:lang w:eastAsia="zh-CN"/>
        </w:rPr>
        <w:t>招标人</w:t>
      </w:r>
      <w:r>
        <w:rPr>
          <w:rFonts w:hint="eastAsia" w:ascii="仿宋" w:hAnsi="仿宋" w:eastAsia="仿宋" w:cs="仿宋"/>
          <w:color w:val="auto"/>
          <w:sz w:val="21"/>
          <w:szCs w:val="21"/>
          <w:highlight w:val="none"/>
        </w:rPr>
        <w:t>的采购</w:t>
      </w:r>
      <w:r>
        <w:rPr>
          <w:rFonts w:hint="eastAsia" w:ascii="仿宋" w:hAnsi="仿宋" w:eastAsia="仿宋" w:cs="仿宋"/>
          <w:color w:val="auto"/>
          <w:sz w:val="21"/>
          <w:szCs w:val="21"/>
          <w:highlight w:val="none"/>
          <w:lang w:val="en-US" w:eastAsia="zh-CN"/>
        </w:rPr>
        <w:t>项目</w:t>
      </w:r>
      <w:r>
        <w:rPr>
          <w:rFonts w:hint="eastAsia" w:ascii="仿宋" w:hAnsi="仿宋" w:eastAsia="仿宋" w:cs="仿宋"/>
          <w:color w:val="auto"/>
          <w:sz w:val="21"/>
          <w:szCs w:val="21"/>
          <w:highlight w:val="none"/>
        </w:rPr>
        <w:t>投标。</w:t>
      </w:r>
    </w:p>
    <w:p w14:paraId="09B2612E">
      <w:pPr>
        <w:spacing w:line="360" w:lineRule="auto"/>
        <w:ind w:firstLine="420" w:firstLineChars="200"/>
        <w:rPr>
          <w:rFonts w:hint="eastAsia" w:ascii="仿宋" w:hAnsi="仿宋" w:eastAsia="仿宋" w:cs="仿宋"/>
          <w:bCs/>
          <w:kern w:val="2"/>
          <w:sz w:val="21"/>
          <w:szCs w:val="21"/>
          <w:highlight w:val="none"/>
          <w:lang w:val="en-US" w:eastAsia="zh-CN" w:bidi="ar-SA"/>
        </w:rPr>
      </w:pPr>
      <w:r>
        <w:rPr>
          <w:rFonts w:hint="eastAsia" w:ascii="仿宋" w:hAnsi="仿宋" w:eastAsia="仿宋" w:cs="仿宋"/>
          <w:b w:val="0"/>
          <w:bCs w:val="0"/>
          <w:color w:val="auto"/>
          <w:sz w:val="21"/>
          <w:szCs w:val="21"/>
          <w:highlight w:val="none"/>
        </w:rPr>
        <w:t>3.</w:t>
      </w:r>
      <w:r>
        <w:rPr>
          <w:rFonts w:hint="eastAsia" w:ascii="仿宋" w:hAnsi="仿宋" w:eastAsia="仿宋" w:cs="仿宋"/>
          <w:bCs/>
          <w:kern w:val="2"/>
          <w:sz w:val="21"/>
          <w:szCs w:val="21"/>
          <w:highlight w:val="none"/>
          <w:lang w:val="en-US" w:eastAsia="zh-CN" w:bidi="ar-SA"/>
        </w:rPr>
        <w:t>各中标人需向招标人以现金缴纳履约保证金（人民币10万元整），履约保证金缴纳时间为中标通知书发出后5个工作日内，中标人缴纳履约保证金后招标人开具收据。中标人在取得招标人开具的履约合格证明的前提下，合同期满后10个工作日内，招标人不计利息一次性退还履约保证金给中标人。中标人未按合同约定履行合同或违约等导致合同被解除的，履约保证金将不予退还。</w:t>
      </w:r>
    </w:p>
    <w:p w14:paraId="5648EB04">
      <w:pPr>
        <w:pStyle w:val="2"/>
        <w:tabs>
          <w:tab w:val="left" w:pos="562"/>
          <w:tab w:val="left" w:pos="3372"/>
          <w:tab w:val="left" w:pos="3653"/>
        </w:tabs>
        <w:spacing w:line="360" w:lineRule="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 xml:space="preserve">   4.中标人每月必须提供为本项目服务的劳务工人实名登记的信息、劳务工人实发工资表（工资发放表须工人本人签名确认）及开具代发工资委托书给招标人，招标人将从支付给中标人的月度进度款中扣留劳务工人工资，并于约定日期转至劳务工人工资(劳务费）专用账户进行工人工资发放。</w:t>
      </w:r>
    </w:p>
    <w:p w14:paraId="2B500F55">
      <w:pPr>
        <w:pStyle w:val="288"/>
        <w:numPr>
          <w:ilvl w:val="0"/>
          <w:numId w:val="0"/>
        </w:numPr>
        <w:spacing w:line="300" w:lineRule="auto"/>
        <w:ind w:firstLine="211" w:firstLineChars="100"/>
        <w:jc w:val="left"/>
        <w:outlineLvl w:val="9"/>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sz w:val="21"/>
          <w:szCs w:val="21"/>
          <w:highlight w:val="none"/>
        </w:rPr>
        <w:t>★</w:t>
      </w:r>
      <w:r>
        <w:rPr>
          <w:rFonts w:hint="eastAsia" w:ascii="仿宋" w:hAnsi="仿宋" w:eastAsia="仿宋" w:cs="仿宋"/>
          <w:b/>
          <w:bCs/>
          <w:color w:val="auto"/>
          <w:kern w:val="2"/>
          <w:sz w:val="21"/>
          <w:szCs w:val="21"/>
          <w:highlight w:val="none"/>
          <w:lang w:val="en-US" w:eastAsia="zh-CN" w:bidi="ar-SA"/>
        </w:rPr>
        <w:t>（七）变更工程的计价原则</w:t>
      </w:r>
    </w:p>
    <w:p w14:paraId="312745B6">
      <w:pPr>
        <w:pStyle w:val="288"/>
        <w:tabs>
          <w:tab w:val="left" w:pos="1140"/>
        </w:tabs>
        <w:spacing w:line="360" w:lineRule="auto"/>
        <w:ind w:firstLine="480"/>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变更工程费用的计价，应以招标人在招标文件中提供的招标控制单价为依据。分包合同综合单价中未包含或没有适用于变更工程细目的综合单价，则按招标人在招标文件中提供的招标控制单价编制方法编制变更工程综合单价，并结合本项目中标综合单价相对于招标人提供的招标控制单价的下浮比例进行下浮，并经招标人业主单位委托的第三方造价咨询单位审核后，且招标人业主单位同意后进行结算。</w:t>
      </w:r>
    </w:p>
    <w:p w14:paraId="534A0BD6">
      <w:pPr>
        <w:pStyle w:val="288"/>
        <w:numPr>
          <w:ilvl w:val="0"/>
          <w:numId w:val="0"/>
        </w:numPr>
        <w:spacing w:line="300" w:lineRule="auto"/>
        <w:ind w:firstLine="211" w:firstLineChars="100"/>
        <w:jc w:val="left"/>
        <w:outlineLvl w:val="9"/>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sz w:val="21"/>
          <w:szCs w:val="21"/>
          <w:highlight w:val="none"/>
        </w:rPr>
        <w:t>★</w:t>
      </w:r>
      <w:r>
        <w:rPr>
          <w:rFonts w:hint="eastAsia" w:ascii="仿宋" w:hAnsi="仿宋" w:eastAsia="仿宋" w:cs="仿宋"/>
          <w:b/>
          <w:bCs/>
          <w:color w:val="auto"/>
          <w:kern w:val="2"/>
          <w:sz w:val="21"/>
          <w:szCs w:val="21"/>
          <w:highlight w:val="none"/>
          <w:lang w:val="en-US" w:eastAsia="zh-CN" w:bidi="ar-SA"/>
        </w:rPr>
        <w:t>（八）任务分配原则</w:t>
      </w:r>
    </w:p>
    <w:p w14:paraId="1892342B">
      <w:pPr>
        <w:spacing w:line="360" w:lineRule="auto"/>
        <w:ind w:firstLine="422" w:firstLineChars="200"/>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投标人中标后，招标人不保证每个中标人能获得等量任务，且招标人有权根据日常生产需要增加采购服务商，投标人投标时应充分认识该风险，并不得就此提出任何异议。其他细则另行约定。</w:t>
      </w:r>
    </w:p>
    <w:p w14:paraId="110D2D2A">
      <w:pPr>
        <w:widowControl/>
        <w:numPr>
          <w:ilvl w:val="-1"/>
          <w:numId w:val="0"/>
        </w:numPr>
        <w:spacing w:line="360" w:lineRule="auto"/>
        <w:ind w:firstLine="211" w:firstLineChars="100"/>
        <w:outlineLvl w:val="9"/>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sz w:val="21"/>
          <w:szCs w:val="21"/>
          <w:highlight w:val="none"/>
        </w:rPr>
        <w:t>★</w:t>
      </w:r>
      <w:r>
        <w:rPr>
          <w:rFonts w:hint="eastAsia" w:ascii="仿宋" w:hAnsi="仿宋" w:eastAsia="仿宋" w:cs="仿宋"/>
          <w:b/>
          <w:bCs/>
          <w:kern w:val="2"/>
          <w:sz w:val="21"/>
          <w:szCs w:val="21"/>
          <w:highlight w:val="none"/>
          <w:lang w:val="en-US" w:eastAsia="zh-CN" w:bidi="ar-SA"/>
        </w:rPr>
        <w:t>（九）</w:t>
      </w:r>
      <w:r>
        <w:rPr>
          <w:rFonts w:hint="eastAsia" w:ascii="仿宋" w:hAnsi="仿宋" w:eastAsia="仿宋" w:cs="仿宋"/>
          <w:b/>
          <w:bCs/>
          <w:color w:val="auto"/>
          <w:kern w:val="2"/>
          <w:sz w:val="21"/>
          <w:szCs w:val="21"/>
          <w:highlight w:val="none"/>
          <w:lang w:val="en-US" w:eastAsia="zh-CN" w:bidi="ar-SA"/>
        </w:rPr>
        <w:t>考核评价参照招标人内部管理办法执行</w:t>
      </w:r>
    </w:p>
    <w:p w14:paraId="713D09D1">
      <w:pPr>
        <w:widowControl/>
        <w:numPr>
          <w:ilvl w:val="-1"/>
          <w:numId w:val="0"/>
        </w:numPr>
        <w:spacing w:line="360" w:lineRule="auto"/>
        <w:ind w:firstLine="211" w:firstLineChars="100"/>
        <w:outlineLvl w:val="9"/>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sz w:val="21"/>
          <w:szCs w:val="21"/>
          <w:highlight w:val="none"/>
        </w:rPr>
        <w:t>★</w:t>
      </w:r>
      <w:r>
        <w:rPr>
          <w:rFonts w:hint="eastAsia" w:ascii="仿宋" w:hAnsi="仿宋" w:eastAsia="仿宋" w:cs="仿宋"/>
          <w:b/>
          <w:bCs/>
          <w:kern w:val="2"/>
          <w:sz w:val="21"/>
          <w:szCs w:val="21"/>
          <w:highlight w:val="none"/>
          <w:lang w:val="en-US" w:eastAsia="zh-CN" w:bidi="ar-SA"/>
        </w:rPr>
        <w:t>(十)其他要求</w:t>
      </w:r>
    </w:p>
    <w:p w14:paraId="6DE3FEF1">
      <w:pPr>
        <w:widowControl w:val="0"/>
        <w:numPr>
          <w:ilvl w:val="0"/>
          <w:numId w:val="13"/>
        </w:numPr>
        <w:tabs>
          <w:tab w:val="left" w:pos="567"/>
          <w:tab w:val="left" w:pos="709"/>
        </w:tabs>
        <w:spacing w:line="360" w:lineRule="auto"/>
        <w:ind w:left="0" w:firstLine="425"/>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本项目中标人需安排人员24小时值班，随时保持有人在岗，及时完成各类日常保洁、保养、抢修、小修及抢险任务。</w:t>
      </w:r>
    </w:p>
    <w:p w14:paraId="0F450B8D">
      <w:pPr>
        <w:widowControl w:val="0"/>
        <w:numPr>
          <w:ilvl w:val="0"/>
          <w:numId w:val="13"/>
        </w:numPr>
        <w:tabs>
          <w:tab w:val="left" w:pos="567"/>
          <w:tab w:val="left" w:pos="709"/>
        </w:tabs>
        <w:spacing w:line="360" w:lineRule="auto"/>
        <w:ind w:left="0" w:firstLine="425"/>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交安病害需根据</w:t>
      </w:r>
      <w:r>
        <w:rPr>
          <w:rFonts w:hint="eastAsia" w:ascii="仿宋" w:hAnsi="仿宋" w:eastAsia="仿宋" w:cs="仿宋"/>
          <w:bCs/>
          <w:color w:val="auto"/>
          <w:sz w:val="21"/>
          <w:szCs w:val="21"/>
          <w:highlight w:val="none"/>
          <w:lang w:eastAsia="zh-CN"/>
        </w:rPr>
        <w:t>招标人</w:t>
      </w:r>
      <w:r>
        <w:rPr>
          <w:rFonts w:hint="eastAsia" w:ascii="仿宋" w:hAnsi="仿宋" w:eastAsia="仿宋" w:cs="仿宋"/>
          <w:bCs/>
          <w:color w:val="auto"/>
          <w:sz w:val="21"/>
          <w:szCs w:val="21"/>
          <w:highlight w:val="none"/>
        </w:rPr>
        <w:t>要求进行修复，中标人发现的病害需由</w:t>
      </w:r>
      <w:r>
        <w:rPr>
          <w:rFonts w:hint="eastAsia" w:ascii="仿宋" w:hAnsi="仿宋" w:eastAsia="仿宋" w:cs="仿宋"/>
          <w:bCs/>
          <w:color w:val="auto"/>
          <w:sz w:val="21"/>
          <w:szCs w:val="21"/>
          <w:highlight w:val="none"/>
          <w:lang w:eastAsia="zh-CN"/>
        </w:rPr>
        <w:t>招标人</w:t>
      </w:r>
      <w:r>
        <w:rPr>
          <w:rFonts w:hint="eastAsia" w:ascii="仿宋" w:hAnsi="仿宋" w:eastAsia="仿宋" w:cs="仿宋"/>
          <w:bCs/>
          <w:color w:val="auto"/>
          <w:sz w:val="21"/>
          <w:szCs w:val="21"/>
          <w:highlight w:val="none"/>
        </w:rPr>
        <w:t>核准后方可修复处理，中标人必须按照相关规定按时按质按量完成病害修复，不得因单价低或其它原因拒绝，否则三年内不得参与</w:t>
      </w:r>
      <w:r>
        <w:rPr>
          <w:rFonts w:hint="eastAsia" w:ascii="仿宋" w:hAnsi="仿宋" w:eastAsia="仿宋" w:cs="仿宋"/>
          <w:bCs/>
          <w:color w:val="auto"/>
          <w:sz w:val="21"/>
          <w:szCs w:val="21"/>
          <w:highlight w:val="none"/>
          <w:lang w:val="en-US" w:eastAsia="zh-CN"/>
        </w:rPr>
        <w:t>招标人上级公司或招标人</w:t>
      </w:r>
      <w:r>
        <w:rPr>
          <w:rFonts w:hint="eastAsia" w:ascii="仿宋" w:hAnsi="仿宋" w:eastAsia="仿宋" w:cs="仿宋"/>
          <w:bCs/>
          <w:color w:val="auto"/>
          <w:sz w:val="21"/>
          <w:szCs w:val="21"/>
          <w:highlight w:val="none"/>
        </w:rPr>
        <w:t>的采购</w:t>
      </w:r>
      <w:r>
        <w:rPr>
          <w:rFonts w:hint="eastAsia" w:ascii="仿宋" w:hAnsi="仿宋" w:eastAsia="仿宋" w:cs="仿宋"/>
          <w:bCs/>
          <w:color w:val="auto"/>
          <w:sz w:val="21"/>
          <w:szCs w:val="21"/>
          <w:highlight w:val="none"/>
          <w:lang w:val="en-US" w:eastAsia="zh-CN"/>
        </w:rPr>
        <w:t>项目投标</w:t>
      </w:r>
      <w:r>
        <w:rPr>
          <w:rFonts w:hint="eastAsia" w:ascii="仿宋" w:hAnsi="仿宋" w:eastAsia="仿宋" w:cs="仿宋"/>
          <w:bCs/>
          <w:color w:val="auto"/>
          <w:sz w:val="21"/>
          <w:szCs w:val="21"/>
          <w:highlight w:val="none"/>
        </w:rPr>
        <w:t>。</w:t>
      </w:r>
    </w:p>
    <w:p w14:paraId="61116F9D">
      <w:pPr>
        <w:widowControl w:val="0"/>
        <w:numPr>
          <w:ilvl w:val="0"/>
          <w:numId w:val="13"/>
        </w:numPr>
        <w:tabs>
          <w:tab w:val="left" w:pos="567"/>
          <w:tab w:val="left" w:pos="709"/>
        </w:tabs>
        <w:spacing w:line="360" w:lineRule="auto"/>
        <w:ind w:left="0" w:firstLine="425"/>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投标单位需熟悉深圳市交通运输局辖区管理局管理模式和智慧管养平台（https://zhgy.gcnao.cn），能进行病害上报、编制施工方案、绘制图纸、工程计量计价、申报、验收等，按</w:t>
      </w:r>
      <w:r>
        <w:rPr>
          <w:rFonts w:hint="eastAsia" w:ascii="仿宋" w:hAnsi="仿宋" w:eastAsia="仿宋" w:cs="仿宋"/>
          <w:bCs/>
          <w:color w:val="auto"/>
          <w:sz w:val="21"/>
          <w:szCs w:val="21"/>
          <w:highlight w:val="none"/>
          <w:lang w:eastAsia="zh-CN"/>
        </w:rPr>
        <w:t>招标人</w:t>
      </w:r>
      <w:r>
        <w:rPr>
          <w:rFonts w:hint="eastAsia" w:ascii="仿宋" w:hAnsi="仿宋" w:eastAsia="仿宋" w:cs="仿宋"/>
          <w:bCs/>
          <w:color w:val="auto"/>
          <w:sz w:val="21"/>
          <w:szCs w:val="21"/>
          <w:highlight w:val="none"/>
        </w:rPr>
        <w:t>要求安排充足的专业专职人员进行智慧管养平台操作，处理并跟进实施的案件。</w:t>
      </w:r>
    </w:p>
    <w:p w14:paraId="2EE9CA93">
      <w:pPr>
        <w:numPr>
          <w:ilvl w:val="0"/>
          <w:numId w:val="13"/>
        </w:numPr>
        <w:tabs>
          <w:tab w:val="left" w:pos="567"/>
          <w:tab w:val="left" w:pos="709"/>
        </w:tabs>
        <w:spacing w:line="360" w:lineRule="auto"/>
        <w:ind w:left="0" w:leftChars="0" w:firstLine="425" w:firstLineChars="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项目实施过程中由于中标人原因，造成</w:t>
      </w:r>
      <w:r>
        <w:rPr>
          <w:rFonts w:hint="eastAsia" w:ascii="仿宋" w:hAnsi="仿宋" w:eastAsia="仿宋" w:cs="仿宋"/>
          <w:bCs/>
          <w:color w:val="auto"/>
          <w:sz w:val="21"/>
          <w:szCs w:val="21"/>
          <w:highlight w:val="none"/>
          <w:lang w:eastAsia="zh-CN"/>
        </w:rPr>
        <w:t>招标人</w:t>
      </w:r>
      <w:r>
        <w:rPr>
          <w:rFonts w:hint="eastAsia" w:ascii="仿宋" w:hAnsi="仿宋" w:eastAsia="仿宋" w:cs="仿宋"/>
          <w:bCs/>
          <w:color w:val="auto"/>
          <w:sz w:val="21"/>
          <w:szCs w:val="21"/>
          <w:highlight w:val="none"/>
        </w:rPr>
        <w:t>受到建设单位或相关政府职能部门罚金的，由中标人承担。</w:t>
      </w:r>
    </w:p>
    <w:p w14:paraId="41A6FCB2">
      <w:pPr>
        <w:numPr>
          <w:ilvl w:val="0"/>
          <w:numId w:val="13"/>
        </w:numPr>
        <w:tabs>
          <w:tab w:val="left" w:pos="567"/>
          <w:tab w:val="left" w:pos="709"/>
        </w:tabs>
        <w:spacing w:line="360" w:lineRule="auto"/>
        <w:ind w:left="0" w:leftChars="0" w:firstLine="470" w:firstLineChars="224"/>
        <w:jc w:val="left"/>
        <w:rPr>
          <w:rFonts w:hint="eastAsia" w:ascii="仿宋" w:hAnsi="仿宋" w:eastAsia="仿宋" w:cs="仿宋"/>
          <w:bCs/>
          <w:color w:val="auto"/>
          <w:sz w:val="21"/>
          <w:szCs w:val="21"/>
          <w:highlight w:val="none"/>
        </w:rPr>
      </w:pPr>
      <w:r>
        <w:rPr>
          <w:rFonts w:hint="eastAsia" w:ascii="仿宋" w:hAnsi="仿宋" w:eastAsia="仿宋" w:cs="仿宋"/>
          <w:bCs/>
          <w:color w:val="auto"/>
          <w:kern w:val="2"/>
          <w:sz w:val="21"/>
          <w:szCs w:val="21"/>
          <w:highlight w:val="none"/>
          <w:lang w:val="en-US" w:eastAsia="zh-CN" w:bidi="ar-SA"/>
        </w:rPr>
        <w:t>本采购范围内维修或更新换代等回收的交通设施处理，如回收后经招标人业主单位确认可重复利用的，可重新使用，如回收后经招标人业主单位确认不能重复利用的，则集中堆放在中标人养护基地，由招标人业主单位估算残值后委托中标人统一处理，相关费用按《关于处置道路交通设施残值资产的有关事项的通知》处理。</w:t>
      </w:r>
      <w:bookmarkEnd w:id="449"/>
      <w:r>
        <w:rPr>
          <w:rFonts w:hint="eastAsia" w:ascii="仿宋" w:hAnsi="仿宋" w:eastAsia="仿宋" w:cs="仿宋"/>
          <w:bCs/>
          <w:color w:val="auto"/>
          <w:kern w:val="2"/>
          <w:sz w:val="21"/>
          <w:szCs w:val="21"/>
          <w:highlight w:val="none"/>
          <w:lang w:val="en-US" w:eastAsia="zh-CN" w:bidi="ar-SA"/>
        </w:rPr>
        <w:t>招标人业主单位从招标人处扣回的回收残值总额，招标人也相应的从中标人结算款中扣回。</w:t>
      </w:r>
    </w:p>
    <w:bookmarkEnd w:id="426"/>
    <w:bookmarkEnd w:id="427"/>
    <w:bookmarkEnd w:id="428"/>
    <w:bookmarkEnd w:id="429"/>
    <w:bookmarkEnd w:id="430"/>
    <w:bookmarkEnd w:id="431"/>
    <w:bookmarkEnd w:id="432"/>
    <w:bookmarkEnd w:id="433"/>
    <w:bookmarkEnd w:id="434"/>
    <w:bookmarkEnd w:id="435"/>
    <w:bookmarkEnd w:id="436"/>
    <w:p w14:paraId="06FD1C52">
      <w:pPr>
        <w:numPr>
          <w:ilvl w:val="0"/>
          <w:numId w:val="13"/>
        </w:numPr>
        <w:tabs>
          <w:tab w:val="left" w:pos="567"/>
          <w:tab w:val="left" w:pos="709"/>
        </w:tabs>
        <w:spacing w:line="240" w:lineRule="auto"/>
        <w:ind w:left="10" w:leftChars="5" w:firstLine="560" w:firstLineChars="200"/>
        <w:rPr>
          <w:rFonts w:hint="eastAsia"/>
          <w:b/>
          <w:bCs/>
          <w:color w:val="auto"/>
          <w:highlight w:val="none"/>
        </w:rPr>
      </w:pPr>
      <w:bookmarkStart w:id="450" w:name="_Toc100319585"/>
      <w:bookmarkStart w:id="451" w:name="_Toc99549958"/>
      <w:bookmarkStart w:id="452" w:name="_Toc128564770"/>
      <w:r>
        <w:rPr>
          <w:rFonts w:hint="eastAsia" w:ascii="宋体" w:hAnsi="宋体" w:eastAsia="宋体" w:cs="宋体"/>
          <w:color w:val="000000"/>
          <w:sz w:val="28"/>
          <w:szCs w:val="28"/>
          <w:highlight w:val="none"/>
          <w:shd w:val="clear" w:color="auto" w:fill="auto"/>
        </w:rPr>
        <w:br w:type="page"/>
      </w:r>
      <w:bookmarkEnd w:id="450"/>
      <w:bookmarkEnd w:id="451"/>
      <w:bookmarkEnd w:id="452"/>
      <w:bookmarkStart w:id="453" w:name="_Toc7716"/>
      <w:bookmarkStart w:id="454" w:name="_Toc9711"/>
      <w:bookmarkStart w:id="455" w:name="_Toc20534"/>
      <w:bookmarkStart w:id="456" w:name="_Toc11860"/>
      <w:bookmarkStart w:id="457" w:name="_Toc128564772"/>
    </w:p>
    <w:p w14:paraId="2A8BBF31">
      <w:pPr>
        <w:pStyle w:val="4"/>
        <w:pageBreakBefore/>
        <w:spacing w:line="415" w:lineRule="auto"/>
        <w:jc w:val="center"/>
        <w:rPr>
          <w:b/>
          <w:bCs/>
          <w:color w:val="auto"/>
          <w:highlight w:val="none"/>
        </w:rPr>
      </w:pPr>
      <w:bookmarkStart w:id="458" w:name="_Toc25640"/>
      <w:bookmarkStart w:id="459" w:name="_Toc31136"/>
      <w:bookmarkStart w:id="460" w:name="_Toc10345"/>
      <w:bookmarkStart w:id="461" w:name="_Toc24868"/>
      <w:bookmarkStart w:id="462" w:name="_Toc15364"/>
      <w:bookmarkStart w:id="463" w:name="_Toc10950"/>
      <w:r>
        <w:rPr>
          <w:rFonts w:hint="eastAsia"/>
          <w:b/>
          <w:bCs/>
          <w:color w:val="auto"/>
          <w:highlight w:val="none"/>
        </w:rPr>
        <w:t>第四章  合同条款及格式</w:t>
      </w:r>
      <w:bookmarkEnd w:id="453"/>
      <w:bookmarkEnd w:id="454"/>
      <w:bookmarkEnd w:id="455"/>
      <w:bookmarkEnd w:id="456"/>
      <w:bookmarkEnd w:id="457"/>
      <w:bookmarkEnd w:id="458"/>
      <w:bookmarkEnd w:id="459"/>
      <w:bookmarkEnd w:id="460"/>
      <w:bookmarkEnd w:id="461"/>
      <w:bookmarkEnd w:id="462"/>
      <w:bookmarkEnd w:id="463"/>
    </w:p>
    <w:p w14:paraId="1798714E">
      <w:pPr>
        <w:spacing w:line="360" w:lineRule="auto"/>
        <w:ind w:right="480" w:firstLine="2380" w:firstLineChars="850"/>
        <w:jc w:val="center"/>
        <w:rPr>
          <w:rFonts w:ascii="宋体" w:hAnsi="宋体"/>
          <w:sz w:val="28"/>
          <w:szCs w:val="28"/>
          <w:highlight w:val="none"/>
        </w:rPr>
      </w:pPr>
      <w:bookmarkStart w:id="464" w:name="合同协议书"/>
      <w:r>
        <w:rPr>
          <w:rFonts w:ascii="宋体" w:hAnsi="宋体"/>
          <w:sz w:val="28"/>
          <w:szCs w:val="28"/>
          <w:highlight w:val="none"/>
        </w:rPr>
        <w:t>合同编号：</w:t>
      </w:r>
    </w:p>
    <w:p w14:paraId="2501343F">
      <w:pPr>
        <w:pStyle w:val="43"/>
        <w:rPr>
          <w:rFonts w:hint="eastAsia"/>
          <w:highlight w:val="none"/>
        </w:rPr>
      </w:pPr>
    </w:p>
    <w:p w14:paraId="25EBDBA4">
      <w:pPr>
        <w:pStyle w:val="43"/>
        <w:rPr>
          <w:rFonts w:hint="eastAsia"/>
          <w:highlight w:val="none"/>
        </w:rPr>
      </w:pPr>
    </w:p>
    <w:p w14:paraId="16BA3C7D">
      <w:pPr>
        <w:pStyle w:val="43"/>
        <w:rPr>
          <w:rFonts w:hint="eastAsia"/>
          <w:highlight w:val="none"/>
        </w:rPr>
      </w:pPr>
    </w:p>
    <w:p w14:paraId="212947E2">
      <w:pPr>
        <w:pStyle w:val="43"/>
        <w:rPr>
          <w:rFonts w:hint="eastAsia"/>
          <w:highlight w:val="none"/>
        </w:rPr>
      </w:pPr>
    </w:p>
    <w:p w14:paraId="7586C92D">
      <w:pPr>
        <w:pStyle w:val="43"/>
        <w:rPr>
          <w:rFonts w:hint="eastAsia"/>
          <w:highlight w:val="none"/>
        </w:rPr>
      </w:pPr>
    </w:p>
    <w:p w14:paraId="5895A884">
      <w:pPr>
        <w:spacing w:line="360" w:lineRule="auto"/>
        <w:jc w:val="center"/>
        <w:rPr>
          <w:rFonts w:ascii="黑体" w:hAnsi="黑体" w:eastAsia="黑体" w:cs="宋体"/>
          <w:color w:val="000000"/>
          <w:kern w:val="0"/>
          <w:sz w:val="44"/>
          <w:szCs w:val="44"/>
          <w:highlight w:val="none"/>
        </w:rPr>
      </w:pPr>
      <w:r>
        <w:rPr>
          <w:rFonts w:hint="eastAsia" w:ascii="黑体" w:hAnsi="黑体" w:eastAsia="黑体" w:cs="宋体"/>
          <w:color w:val="000000"/>
          <w:kern w:val="0"/>
          <w:sz w:val="44"/>
          <w:szCs w:val="44"/>
          <w:highlight w:val="none"/>
        </w:rPr>
        <w:t>交</w:t>
      </w:r>
      <w:r>
        <w:rPr>
          <w:rFonts w:hint="eastAsia" w:ascii="黑体" w:hAnsi="黑体" w:eastAsia="黑体" w:cs="宋体"/>
          <w:color w:val="000000"/>
          <w:kern w:val="0"/>
          <w:sz w:val="44"/>
          <w:szCs w:val="44"/>
          <w:highlight w:val="none"/>
          <w:lang w:eastAsia="zh-CN"/>
        </w:rPr>
        <w:t>通</w:t>
      </w:r>
      <w:r>
        <w:rPr>
          <w:rFonts w:hint="eastAsia" w:ascii="黑体" w:hAnsi="黑体" w:eastAsia="黑体" w:cs="宋体"/>
          <w:color w:val="000000"/>
          <w:kern w:val="0"/>
          <w:sz w:val="44"/>
          <w:szCs w:val="44"/>
          <w:highlight w:val="none"/>
        </w:rPr>
        <w:t>安</w:t>
      </w:r>
      <w:r>
        <w:rPr>
          <w:rFonts w:hint="eastAsia" w:ascii="黑体" w:hAnsi="黑体" w:eastAsia="黑体" w:cs="宋体"/>
          <w:color w:val="000000"/>
          <w:kern w:val="0"/>
          <w:sz w:val="44"/>
          <w:szCs w:val="44"/>
          <w:highlight w:val="none"/>
          <w:lang w:eastAsia="zh-CN"/>
        </w:rPr>
        <w:t>全</w:t>
      </w:r>
      <w:r>
        <w:rPr>
          <w:rFonts w:hint="eastAsia" w:ascii="黑体" w:hAnsi="黑体" w:eastAsia="黑体" w:cs="宋体"/>
          <w:color w:val="000000"/>
          <w:kern w:val="0"/>
          <w:sz w:val="44"/>
          <w:szCs w:val="44"/>
          <w:highlight w:val="none"/>
        </w:rPr>
        <w:t>设施专业分包采购合同</w:t>
      </w:r>
    </w:p>
    <w:p w14:paraId="0678AB49">
      <w:pPr>
        <w:spacing w:line="360" w:lineRule="auto"/>
        <w:jc w:val="center"/>
        <w:rPr>
          <w:rFonts w:hint="eastAsia" w:ascii="ˎ̥" w:hAnsi="ˎ̥" w:cs="宋体"/>
          <w:color w:val="000000"/>
          <w:kern w:val="0"/>
          <w:sz w:val="32"/>
          <w:szCs w:val="32"/>
          <w:highlight w:val="none"/>
        </w:rPr>
      </w:pPr>
    </w:p>
    <w:p w14:paraId="0DDBF444">
      <w:pPr>
        <w:spacing w:line="360" w:lineRule="auto"/>
        <w:jc w:val="center"/>
        <w:rPr>
          <w:rFonts w:hint="eastAsia" w:ascii="ˎ̥" w:hAnsi="ˎ̥" w:cs="宋体"/>
          <w:color w:val="000000"/>
          <w:kern w:val="0"/>
          <w:sz w:val="32"/>
          <w:szCs w:val="32"/>
          <w:highlight w:val="none"/>
        </w:rPr>
      </w:pPr>
    </w:p>
    <w:p w14:paraId="06AA4246">
      <w:pPr>
        <w:spacing w:line="360" w:lineRule="auto"/>
        <w:jc w:val="center"/>
        <w:rPr>
          <w:rFonts w:hint="eastAsia" w:ascii="ˎ̥" w:hAnsi="ˎ̥" w:cs="宋体"/>
          <w:color w:val="000000"/>
          <w:kern w:val="0"/>
          <w:sz w:val="32"/>
          <w:szCs w:val="32"/>
          <w:highlight w:val="none"/>
        </w:rPr>
      </w:pPr>
    </w:p>
    <w:p w14:paraId="77EB7E7E">
      <w:pPr>
        <w:spacing w:line="360" w:lineRule="auto"/>
        <w:jc w:val="center"/>
        <w:rPr>
          <w:rFonts w:hint="eastAsia" w:ascii="ˎ̥" w:hAnsi="ˎ̥" w:cs="宋体"/>
          <w:color w:val="000000"/>
          <w:kern w:val="0"/>
          <w:sz w:val="32"/>
          <w:szCs w:val="32"/>
          <w:highlight w:val="none"/>
        </w:rPr>
      </w:pPr>
    </w:p>
    <w:p w14:paraId="1F1CC9F2">
      <w:pPr>
        <w:spacing w:line="360" w:lineRule="auto"/>
        <w:rPr>
          <w:rFonts w:hint="eastAsia" w:ascii="ˎ̥" w:hAnsi="ˎ̥" w:cs="宋体"/>
          <w:color w:val="000000"/>
          <w:kern w:val="0"/>
          <w:sz w:val="32"/>
          <w:szCs w:val="32"/>
          <w:highlight w:val="none"/>
        </w:rPr>
      </w:pPr>
    </w:p>
    <w:p w14:paraId="3B8922A4">
      <w:pPr>
        <w:spacing w:line="360" w:lineRule="auto"/>
        <w:ind w:firstLine="560" w:firstLineChars="200"/>
        <w:rPr>
          <w:rFonts w:hint="eastAsia" w:ascii="ˎ̥" w:hAnsi="ˎ̥" w:cs="宋体"/>
          <w:color w:val="000000"/>
          <w:kern w:val="0"/>
          <w:sz w:val="28"/>
          <w:szCs w:val="28"/>
          <w:highlight w:val="none"/>
          <w:u w:val="single"/>
        </w:rPr>
      </w:pPr>
      <w:r>
        <w:rPr>
          <w:rFonts w:hint="eastAsia" w:ascii="ˎ̥" w:hAnsi="ˎ̥" w:cs="宋体"/>
          <w:color w:val="000000"/>
          <w:kern w:val="0"/>
          <w:sz w:val="28"/>
          <w:szCs w:val="28"/>
          <w:highlight w:val="none"/>
        </w:rPr>
        <w:t>采  购  内  容</w:t>
      </w:r>
      <w:r>
        <w:rPr>
          <w:rFonts w:ascii="ˎ̥" w:hAnsi="ˎ̥" w:cs="宋体"/>
          <w:color w:val="000000"/>
          <w:kern w:val="0"/>
          <w:sz w:val="28"/>
          <w:szCs w:val="28"/>
          <w:highlight w:val="none"/>
        </w:rPr>
        <w:t>：</w:t>
      </w:r>
      <w:r>
        <w:rPr>
          <w:rFonts w:hint="eastAsia" w:ascii="ˎ̥" w:hAnsi="ˎ̥" w:cs="宋体"/>
          <w:color w:val="000000"/>
          <w:kern w:val="0"/>
          <w:sz w:val="28"/>
          <w:szCs w:val="28"/>
          <w:highlight w:val="none"/>
          <w:u w:val="single"/>
        </w:rPr>
        <w:t xml:space="preserve">         </w:t>
      </w:r>
    </w:p>
    <w:p w14:paraId="2B3010AC">
      <w:pPr>
        <w:spacing w:line="360" w:lineRule="auto"/>
        <w:jc w:val="center"/>
        <w:rPr>
          <w:rFonts w:hint="eastAsia" w:ascii="ˎ̥" w:hAnsi="ˎ̥" w:cs="宋体"/>
          <w:color w:val="000000"/>
          <w:kern w:val="0"/>
          <w:sz w:val="32"/>
          <w:szCs w:val="32"/>
          <w:highlight w:val="none"/>
        </w:rPr>
      </w:pPr>
    </w:p>
    <w:p w14:paraId="14BFCFC9">
      <w:pPr>
        <w:spacing w:line="360" w:lineRule="auto"/>
        <w:ind w:firstLine="560" w:firstLineChars="200"/>
        <w:rPr>
          <w:rFonts w:hint="eastAsia" w:ascii="ˎ̥" w:hAnsi="ˎ̥" w:eastAsia="宋体" w:cs="宋体"/>
          <w:color w:val="000000"/>
          <w:kern w:val="0"/>
          <w:sz w:val="28"/>
          <w:szCs w:val="28"/>
          <w:highlight w:val="none"/>
          <w:u w:val="single"/>
          <w:lang w:val="en-US" w:eastAsia="zh-CN"/>
        </w:rPr>
      </w:pPr>
      <w:r>
        <w:rPr>
          <w:rFonts w:hint="eastAsia" w:ascii="ˎ̥" w:hAnsi="ˎ̥" w:cs="宋体"/>
          <w:color w:val="000000"/>
          <w:kern w:val="0"/>
          <w:sz w:val="28"/>
          <w:szCs w:val="28"/>
          <w:highlight w:val="none"/>
        </w:rPr>
        <w:t>需求方</w:t>
      </w:r>
      <w:r>
        <w:rPr>
          <w:rFonts w:ascii="ˎ̥" w:hAnsi="ˎ̥" w:cs="宋体"/>
          <w:color w:val="000000"/>
          <w:kern w:val="0"/>
          <w:sz w:val="28"/>
          <w:szCs w:val="28"/>
          <w:highlight w:val="none"/>
        </w:rPr>
        <w:t>（甲方）</w:t>
      </w:r>
      <w:r>
        <w:rPr>
          <w:rFonts w:hint="eastAsia" w:ascii="ˎ̥" w:hAnsi="ˎ̥" w:cs="宋体"/>
          <w:color w:val="000000"/>
          <w:kern w:val="0"/>
          <w:sz w:val="28"/>
          <w:szCs w:val="28"/>
          <w:highlight w:val="none"/>
          <w:lang w:eastAsia="zh-CN"/>
        </w:rPr>
        <w:t>：</w:t>
      </w:r>
      <w:r>
        <w:rPr>
          <w:rFonts w:hint="eastAsia" w:ascii="ˎ̥" w:hAnsi="ˎ̥" w:cs="宋体"/>
          <w:color w:val="000000"/>
          <w:kern w:val="0"/>
          <w:sz w:val="28"/>
          <w:szCs w:val="28"/>
          <w:highlight w:val="none"/>
          <w:u w:val="single"/>
          <w:lang w:val="en-US" w:eastAsia="zh-CN"/>
        </w:rPr>
        <w:t xml:space="preserve">  </w:t>
      </w:r>
    </w:p>
    <w:p w14:paraId="50DBDF45">
      <w:pPr>
        <w:spacing w:line="360" w:lineRule="auto"/>
        <w:ind w:firstLine="560" w:firstLineChars="200"/>
        <w:rPr>
          <w:rFonts w:hint="eastAsia" w:ascii="ˎ̥" w:hAnsi="ˎ̥" w:cs="宋体"/>
          <w:color w:val="000000"/>
          <w:kern w:val="0"/>
          <w:sz w:val="28"/>
          <w:szCs w:val="28"/>
          <w:highlight w:val="none"/>
        </w:rPr>
      </w:pPr>
    </w:p>
    <w:p w14:paraId="4C6F774C">
      <w:pPr>
        <w:spacing w:line="360" w:lineRule="auto"/>
        <w:ind w:firstLine="560" w:firstLineChars="200"/>
        <w:rPr>
          <w:rFonts w:hint="eastAsia" w:ascii="ˎ̥" w:hAnsi="ˎ̥" w:eastAsia="宋体" w:cs="宋体"/>
          <w:color w:val="000000"/>
          <w:kern w:val="0"/>
          <w:sz w:val="28"/>
          <w:szCs w:val="28"/>
          <w:highlight w:val="none"/>
          <w:u w:val="single"/>
          <w:lang w:eastAsia="zh-CN"/>
        </w:rPr>
      </w:pPr>
      <w:r>
        <w:rPr>
          <w:rFonts w:hint="eastAsia" w:ascii="ˎ̥" w:hAnsi="ˎ̥" w:cs="宋体"/>
          <w:color w:val="000000"/>
          <w:kern w:val="0"/>
          <w:sz w:val="28"/>
          <w:szCs w:val="28"/>
          <w:highlight w:val="none"/>
        </w:rPr>
        <w:t>供应方</w:t>
      </w:r>
      <w:r>
        <w:rPr>
          <w:rFonts w:ascii="ˎ̥" w:hAnsi="ˎ̥" w:cs="宋体"/>
          <w:color w:val="000000"/>
          <w:kern w:val="0"/>
          <w:sz w:val="28"/>
          <w:szCs w:val="28"/>
          <w:highlight w:val="none"/>
        </w:rPr>
        <w:t>（乙方）</w:t>
      </w:r>
      <w:r>
        <w:rPr>
          <w:rFonts w:hint="eastAsia" w:ascii="ˎ̥" w:hAnsi="ˎ̥" w:cs="宋体"/>
          <w:color w:val="000000"/>
          <w:kern w:val="0"/>
          <w:sz w:val="28"/>
          <w:szCs w:val="28"/>
          <w:highlight w:val="none"/>
        </w:rPr>
        <w:t>：</w:t>
      </w:r>
    </w:p>
    <w:p w14:paraId="47E6A52F">
      <w:pPr>
        <w:spacing w:line="360" w:lineRule="auto"/>
        <w:jc w:val="center"/>
        <w:rPr>
          <w:rFonts w:hint="eastAsia" w:ascii="ˎ̥" w:hAnsi="ˎ̥" w:cs="宋体"/>
          <w:color w:val="000000"/>
          <w:kern w:val="0"/>
          <w:sz w:val="32"/>
          <w:szCs w:val="32"/>
          <w:highlight w:val="none"/>
        </w:rPr>
      </w:pPr>
    </w:p>
    <w:p w14:paraId="3099B142">
      <w:pPr>
        <w:spacing w:line="360" w:lineRule="auto"/>
        <w:jc w:val="center"/>
        <w:rPr>
          <w:rFonts w:hint="eastAsia" w:ascii="ˎ̥" w:hAnsi="ˎ̥" w:cs="宋体"/>
          <w:color w:val="000000"/>
          <w:kern w:val="0"/>
          <w:sz w:val="32"/>
          <w:szCs w:val="32"/>
          <w:highlight w:val="none"/>
        </w:rPr>
      </w:pPr>
    </w:p>
    <w:p w14:paraId="219644F9">
      <w:pPr>
        <w:spacing w:line="360" w:lineRule="auto"/>
        <w:jc w:val="center"/>
        <w:rPr>
          <w:rFonts w:hint="eastAsia" w:ascii="ˎ̥" w:hAnsi="ˎ̥" w:cs="宋体"/>
          <w:color w:val="000000"/>
          <w:kern w:val="0"/>
          <w:sz w:val="28"/>
          <w:szCs w:val="28"/>
          <w:highlight w:val="none"/>
        </w:rPr>
      </w:pPr>
      <w:r>
        <w:rPr>
          <w:rFonts w:hint="eastAsia" w:ascii="ˎ̥" w:hAnsi="ˎ̥" w:cs="宋体"/>
          <w:color w:val="000000"/>
          <w:kern w:val="0"/>
          <w:sz w:val="28"/>
          <w:szCs w:val="28"/>
          <w:highlight w:val="none"/>
        </w:rPr>
        <w:t>签订</w:t>
      </w:r>
      <w:r>
        <w:rPr>
          <w:rFonts w:ascii="ˎ̥" w:hAnsi="ˎ̥" w:cs="宋体"/>
          <w:color w:val="000000"/>
          <w:kern w:val="0"/>
          <w:sz w:val="28"/>
          <w:szCs w:val="28"/>
          <w:highlight w:val="none"/>
        </w:rPr>
        <w:t>时间：</w:t>
      </w:r>
      <w:r>
        <w:rPr>
          <w:rFonts w:hint="eastAsia" w:ascii="ˎ̥" w:hAnsi="ˎ̥" w:cs="宋体"/>
          <w:color w:val="000000"/>
          <w:kern w:val="0"/>
          <w:sz w:val="28"/>
          <w:szCs w:val="28"/>
          <w:highlight w:val="none"/>
          <w:lang w:val="en-US" w:eastAsia="zh-CN"/>
        </w:rPr>
        <w:t xml:space="preserve">    </w:t>
      </w:r>
      <w:r>
        <w:rPr>
          <w:rFonts w:ascii="ˎ̥" w:hAnsi="ˎ̥" w:cs="宋体"/>
          <w:color w:val="000000"/>
          <w:kern w:val="0"/>
          <w:sz w:val="28"/>
          <w:szCs w:val="28"/>
          <w:highlight w:val="none"/>
        </w:rPr>
        <w:t>年</w:t>
      </w:r>
      <w:r>
        <w:rPr>
          <w:rFonts w:hint="eastAsia" w:ascii="ˎ̥" w:hAnsi="ˎ̥" w:cs="宋体"/>
          <w:color w:val="000000"/>
          <w:kern w:val="0"/>
          <w:sz w:val="28"/>
          <w:szCs w:val="28"/>
          <w:highlight w:val="none"/>
          <w:lang w:val="en-US" w:eastAsia="zh-CN"/>
        </w:rPr>
        <w:t xml:space="preserve">    </w:t>
      </w:r>
      <w:r>
        <w:rPr>
          <w:rFonts w:ascii="ˎ̥" w:hAnsi="ˎ̥" w:cs="宋体"/>
          <w:color w:val="000000"/>
          <w:kern w:val="0"/>
          <w:sz w:val="28"/>
          <w:szCs w:val="28"/>
          <w:highlight w:val="none"/>
        </w:rPr>
        <w:t>月</w:t>
      </w:r>
      <w:r>
        <w:rPr>
          <w:rFonts w:hint="eastAsia" w:ascii="ˎ̥" w:hAnsi="ˎ̥" w:cs="宋体"/>
          <w:color w:val="000000"/>
          <w:kern w:val="0"/>
          <w:sz w:val="28"/>
          <w:szCs w:val="28"/>
          <w:highlight w:val="none"/>
          <w:lang w:val="en-US" w:eastAsia="zh-CN"/>
        </w:rPr>
        <w:t xml:space="preserve">    </w:t>
      </w:r>
      <w:r>
        <w:rPr>
          <w:rFonts w:ascii="ˎ̥" w:hAnsi="ˎ̥" w:cs="宋体"/>
          <w:color w:val="000000"/>
          <w:kern w:val="0"/>
          <w:sz w:val="28"/>
          <w:szCs w:val="28"/>
          <w:highlight w:val="none"/>
        </w:rPr>
        <w:t>日</w:t>
      </w:r>
    </w:p>
    <w:p w14:paraId="6BA1EBE9">
      <w:pPr>
        <w:spacing w:line="360" w:lineRule="auto"/>
        <w:jc w:val="center"/>
        <w:rPr>
          <w:rFonts w:hint="eastAsia" w:ascii="ˎ̥" w:hAnsi="ˎ̥" w:cs="宋体"/>
          <w:color w:val="000000"/>
          <w:kern w:val="0"/>
          <w:sz w:val="28"/>
          <w:szCs w:val="28"/>
          <w:highlight w:val="none"/>
        </w:rPr>
      </w:pPr>
    </w:p>
    <w:p w14:paraId="496B11E1">
      <w:pPr>
        <w:spacing w:line="360" w:lineRule="auto"/>
        <w:jc w:val="center"/>
        <w:rPr>
          <w:rFonts w:hint="eastAsia" w:ascii="ˎ̥" w:hAnsi="ˎ̥" w:eastAsia="宋体" w:cs="宋体"/>
          <w:b/>
          <w:color w:val="000000"/>
          <w:kern w:val="0"/>
          <w:sz w:val="28"/>
          <w:szCs w:val="28"/>
          <w:highlight w:val="none"/>
          <w:lang w:eastAsia="zh-CN"/>
        </w:rPr>
      </w:pPr>
      <w:r>
        <w:rPr>
          <w:rFonts w:hint="eastAsia" w:ascii="ˎ̥" w:hAnsi="ˎ̥" w:cs="宋体"/>
          <w:color w:val="000000"/>
          <w:kern w:val="0"/>
          <w:sz w:val="28"/>
          <w:szCs w:val="28"/>
          <w:highlight w:val="none"/>
        </w:rPr>
        <w:t>深圳</w:t>
      </w:r>
      <w:r>
        <w:rPr>
          <w:rFonts w:hint="eastAsia" w:ascii="ˎ̥" w:hAnsi="ˎ̥" w:cs="宋体"/>
          <w:color w:val="000000"/>
          <w:kern w:val="0"/>
          <w:sz w:val="28"/>
          <w:szCs w:val="28"/>
          <w:highlight w:val="none"/>
          <w:lang w:val="en-US" w:eastAsia="zh-CN"/>
        </w:rPr>
        <w:t>市</w:t>
      </w:r>
    </w:p>
    <w:p w14:paraId="0850B1B3">
      <w:pPr>
        <w:rPr>
          <w:color w:val="000000"/>
          <w:sz w:val="44"/>
          <w:szCs w:val="44"/>
          <w:highlight w:val="none"/>
        </w:rPr>
      </w:pPr>
      <w:r>
        <w:rPr>
          <w:color w:val="000000"/>
          <w:sz w:val="44"/>
          <w:szCs w:val="44"/>
          <w:highlight w:val="none"/>
        </w:rPr>
        <w:br w:type="page"/>
      </w:r>
    </w:p>
    <w:p w14:paraId="426233DE">
      <w:pPr>
        <w:jc w:val="center"/>
        <w:rPr>
          <w:color w:val="000000"/>
          <w:sz w:val="44"/>
          <w:szCs w:val="44"/>
          <w:highlight w:val="none"/>
        </w:rPr>
      </w:pPr>
      <w:r>
        <w:rPr>
          <w:rFonts w:hint="eastAsia"/>
          <w:color w:val="000000"/>
          <w:sz w:val="44"/>
          <w:szCs w:val="44"/>
          <w:highlight w:val="none"/>
        </w:rPr>
        <w:t>交</w:t>
      </w:r>
      <w:r>
        <w:rPr>
          <w:rFonts w:hint="eastAsia"/>
          <w:color w:val="000000"/>
          <w:sz w:val="44"/>
          <w:szCs w:val="44"/>
          <w:highlight w:val="none"/>
          <w:lang w:eastAsia="zh-CN"/>
        </w:rPr>
        <w:t>通</w:t>
      </w:r>
      <w:r>
        <w:rPr>
          <w:rFonts w:hint="eastAsia"/>
          <w:color w:val="000000"/>
          <w:sz w:val="44"/>
          <w:szCs w:val="44"/>
          <w:highlight w:val="none"/>
        </w:rPr>
        <w:t>安</w:t>
      </w:r>
      <w:r>
        <w:rPr>
          <w:rFonts w:hint="eastAsia"/>
          <w:color w:val="000000"/>
          <w:sz w:val="44"/>
          <w:szCs w:val="44"/>
          <w:highlight w:val="none"/>
          <w:lang w:eastAsia="zh-CN"/>
        </w:rPr>
        <w:t>全</w:t>
      </w:r>
      <w:r>
        <w:rPr>
          <w:rFonts w:hint="eastAsia"/>
          <w:color w:val="000000"/>
          <w:sz w:val="44"/>
          <w:szCs w:val="44"/>
          <w:highlight w:val="none"/>
        </w:rPr>
        <w:t>设施专业分包合同</w:t>
      </w:r>
    </w:p>
    <w:p w14:paraId="5315EE1A">
      <w:pPr>
        <w:spacing w:line="360" w:lineRule="auto"/>
        <w:ind w:firstLine="420" w:firstLineChars="200"/>
        <w:rPr>
          <w:rFonts w:hint="eastAsia" w:ascii="宋体" w:hAnsi="宋体" w:cs="宋体"/>
          <w:color w:val="000000"/>
          <w:szCs w:val="21"/>
          <w:highlight w:val="none"/>
        </w:rPr>
      </w:pPr>
    </w:p>
    <w:p w14:paraId="2155F72A">
      <w:pPr>
        <w:spacing w:line="360" w:lineRule="auto"/>
        <w:ind w:firstLine="420" w:firstLineChars="200"/>
        <w:rPr>
          <w:rFonts w:hint="eastAsia" w:ascii="宋体" w:hAnsi="宋体" w:eastAsia="宋体" w:cs="宋体"/>
          <w:color w:val="000000"/>
          <w:szCs w:val="21"/>
          <w:highlight w:val="none"/>
          <w:lang w:eastAsia="zh-CN"/>
        </w:rPr>
      </w:pPr>
      <w:r>
        <w:rPr>
          <w:rFonts w:hint="eastAsia" w:ascii="宋体" w:hAnsi="宋体" w:cs="宋体"/>
          <w:color w:val="000000"/>
          <w:szCs w:val="21"/>
          <w:highlight w:val="none"/>
        </w:rPr>
        <w:t>甲方：</w:t>
      </w:r>
    </w:p>
    <w:p w14:paraId="5CFA5230">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统一社会信用代码：</w:t>
      </w:r>
    </w:p>
    <w:p w14:paraId="67F1422C">
      <w:pPr>
        <w:spacing w:line="360" w:lineRule="auto"/>
        <w:ind w:firstLine="420" w:firstLineChars="200"/>
        <w:rPr>
          <w:rFonts w:hint="eastAsia" w:ascii="宋体" w:hAnsi="宋体" w:eastAsia="宋体" w:cs="宋体"/>
          <w:color w:val="000000"/>
          <w:szCs w:val="21"/>
          <w:highlight w:val="none"/>
          <w:lang w:eastAsia="zh-CN"/>
        </w:rPr>
      </w:pPr>
      <w:r>
        <w:rPr>
          <w:rFonts w:hint="eastAsia" w:ascii="宋体" w:hAnsi="宋体" w:cs="宋体"/>
          <w:color w:val="000000"/>
          <w:szCs w:val="21"/>
          <w:highlight w:val="none"/>
        </w:rPr>
        <w:t>法定代表人：</w:t>
      </w:r>
    </w:p>
    <w:p w14:paraId="6FC59018">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公司地址：</w:t>
      </w:r>
    </w:p>
    <w:p w14:paraId="292ED9A1">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联系人及联系方式：</w:t>
      </w:r>
    </w:p>
    <w:p w14:paraId="7E237564">
      <w:pPr>
        <w:spacing w:line="360" w:lineRule="auto"/>
        <w:ind w:firstLine="420" w:firstLineChars="200"/>
        <w:rPr>
          <w:rFonts w:hint="eastAsia" w:ascii="宋体" w:hAnsi="宋体" w:cs="宋体"/>
          <w:color w:val="000000"/>
          <w:szCs w:val="21"/>
          <w:highlight w:val="none"/>
        </w:rPr>
      </w:pPr>
    </w:p>
    <w:p w14:paraId="4A93366B">
      <w:pPr>
        <w:spacing w:line="360" w:lineRule="auto"/>
        <w:ind w:firstLine="420" w:firstLineChars="200"/>
        <w:rPr>
          <w:rFonts w:hint="eastAsia" w:ascii="宋体" w:hAnsi="宋体" w:cs="宋体"/>
          <w:color w:val="000000"/>
          <w:szCs w:val="21"/>
          <w:highlight w:val="none"/>
          <w:lang w:eastAsia="zh-CN"/>
        </w:rPr>
      </w:pPr>
      <w:r>
        <w:rPr>
          <w:rFonts w:hint="eastAsia" w:ascii="宋体" w:hAnsi="宋体" w:cs="宋体"/>
          <w:color w:val="000000"/>
          <w:szCs w:val="21"/>
          <w:highlight w:val="none"/>
        </w:rPr>
        <w:t>乙方</w:t>
      </w:r>
      <w:r>
        <w:rPr>
          <w:rFonts w:hint="eastAsia" w:ascii="宋体" w:hAnsi="宋体" w:cs="宋体"/>
          <w:color w:val="000000"/>
          <w:szCs w:val="21"/>
          <w:highlight w:val="none"/>
          <w:lang w:eastAsia="zh-CN"/>
        </w:rPr>
        <w:t>：</w:t>
      </w:r>
    </w:p>
    <w:p w14:paraId="324158F7">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统一社会信用代码：</w:t>
      </w:r>
    </w:p>
    <w:p w14:paraId="546625B9">
      <w:pPr>
        <w:spacing w:line="360" w:lineRule="auto"/>
        <w:ind w:firstLine="420" w:firstLineChars="200"/>
        <w:rPr>
          <w:rFonts w:hint="eastAsia" w:ascii="宋体" w:hAnsi="宋体" w:eastAsia="宋体" w:cs="宋体"/>
          <w:color w:val="000000"/>
          <w:szCs w:val="21"/>
          <w:highlight w:val="none"/>
          <w:lang w:eastAsia="zh-CN"/>
        </w:rPr>
      </w:pPr>
      <w:r>
        <w:rPr>
          <w:rFonts w:hint="eastAsia" w:ascii="宋体" w:hAnsi="宋体" w:cs="宋体"/>
          <w:color w:val="000000"/>
          <w:szCs w:val="21"/>
          <w:highlight w:val="none"/>
        </w:rPr>
        <w:t>法定代表人：</w:t>
      </w:r>
    </w:p>
    <w:p w14:paraId="082802AF">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公司地址：</w:t>
      </w:r>
    </w:p>
    <w:p w14:paraId="5E70579F">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联系人及联系方式：</w:t>
      </w:r>
    </w:p>
    <w:p w14:paraId="454D632C">
      <w:pPr>
        <w:spacing w:line="360" w:lineRule="auto"/>
        <w:ind w:firstLine="420" w:firstLineChars="200"/>
        <w:rPr>
          <w:rFonts w:hint="eastAsia" w:ascii="宋体" w:hAnsi="宋体" w:cs="宋体"/>
          <w:color w:val="000000"/>
          <w:szCs w:val="21"/>
          <w:highlight w:val="none"/>
        </w:rPr>
      </w:pPr>
    </w:p>
    <w:p w14:paraId="5B467566">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甲方经</w:t>
      </w:r>
      <w:r>
        <w:rPr>
          <w:rFonts w:hint="eastAsia" w:ascii="宋体" w:hAnsi="宋体" w:cs="宋体"/>
          <w:szCs w:val="21"/>
          <w:highlight w:val="none"/>
          <w:u w:val="single"/>
        </w:rPr>
        <w:t>公开招标</w:t>
      </w:r>
      <w:r>
        <w:rPr>
          <w:rFonts w:hint="eastAsia" w:ascii="宋体" w:hAnsi="宋体" w:cs="宋体"/>
          <w:szCs w:val="21"/>
          <w:highlight w:val="none"/>
        </w:rPr>
        <w:t>方式</w:t>
      </w:r>
      <w:r>
        <w:rPr>
          <w:rFonts w:hint="eastAsia" w:ascii="宋体" w:hAnsi="宋体" w:cs="宋体"/>
          <w:color w:val="000000"/>
          <w:szCs w:val="21"/>
          <w:highlight w:val="none"/>
        </w:rPr>
        <w:t>确定乙方为</w:t>
      </w:r>
      <w:r>
        <w:rPr>
          <w:rFonts w:hint="eastAsia" w:ascii="宋体" w:hAnsi="宋体" w:cs="宋体"/>
          <w:color w:val="000000"/>
          <w:szCs w:val="21"/>
          <w:highlight w:val="none"/>
          <w:lang w:eastAsia="zh-CN"/>
        </w:rPr>
        <w:t>本</w:t>
      </w:r>
      <w:r>
        <w:rPr>
          <w:rFonts w:hint="eastAsia" w:ascii="宋体" w:hAnsi="宋体" w:cs="宋体"/>
          <w:color w:val="000000"/>
          <w:szCs w:val="21"/>
          <w:highlight w:val="none"/>
        </w:rPr>
        <w:t>项目专业分包单位。为规范甲乙双方行为，保护双方的合法权益，明确双方的权利和义务，根据《中华人民共和国民法典》及有关法律、法规，经双方充分协商，特订立本合同，以便双方共同遵守执行。</w:t>
      </w:r>
    </w:p>
    <w:p w14:paraId="55DF0D67">
      <w:pPr>
        <w:spacing w:line="360" w:lineRule="auto"/>
        <w:ind w:firstLine="422" w:firstLineChars="200"/>
        <w:rPr>
          <w:rFonts w:hint="eastAsia" w:ascii="宋体" w:hAnsi="宋体" w:cs="宋体"/>
          <w:b/>
          <w:color w:val="000000"/>
          <w:szCs w:val="21"/>
          <w:highlight w:val="none"/>
        </w:rPr>
      </w:pPr>
      <w:r>
        <w:rPr>
          <w:rFonts w:hint="eastAsia" w:ascii="宋体" w:hAnsi="宋体" w:cs="宋体"/>
          <w:b/>
          <w:color w:val="000000"/>
          <w:szCs w:val="21"/>
          <w:highlight w:val="none"/>
        </w:rPr>
        <w:t>第一条  分包项目概况</w:t>
      </w:r>
    </w:p>
    <w:p w14:paraId="68EFAB31">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1.分包项目名称：</w:t>
      </w:r>
      <w:r>
        <w:rPr>
          <w:rFonts w:hint="eastAsia" w:ascii="宋体" w:hAnsi="宋体" w:cs="宋体"/>
          <w:color w:val="000000"/>
          <w:szCs w:val="21"/>
          <w:highlight w:val="none"/>
          <w:lang w:eastAsia="zh-CN"/>
        </w:rPr>
        <w:t>2025-2026年日常养护项目交通安全设施专业分包采购</w:t>
      </w:r>
      <w:r>
        <w:rPr>
          <w:rFonts w:hint="eastAsia" w:ascii="宋体" w:hAnsi="宋体" w:cs="宋体"/>
          <w:color w:val="000000"/>
          <w:szCs w:val="21"/>
          <w:highlight w:val="none"/>
        </w:rPr>
        <w:t>。</w:t>
      </w:r>
    </w:p>
    <w:p w14:paraId="57158B2C">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2.分包项目地点：</w:t>
      </w:r>
      <w:r>
        <w:rPr>
          <w:rFonts w:hint="eastAsia" w:ascii="宋体" w:hAnsi="宋体" w:cs="宋体"/>
          <w:color w:val="000000"/>
          <w:szCs w:val="21"/>
          <w:highlight w:val="none"/>
          <w:lang w:eastAsia="zh-CN"/>
        </w:rPr>
        <w:t>深圳市</w:t>
      </w:r>
      <w:r>
        <w:rPr>
          <w:rFonts w:hint="eastAsia" w:ascii="宋体" w:hAnsi="宋体" w:cs="宋体"/>
          <w:color w:val="000000"/>
          <w:szCs w:val="21"/>
          <w:highlight w:val="none"/>
        </w:rPr>
        <w:t>。</w:t>
      </w:r>
    </w:p>
    <w:p w14:paraId="76829307">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3.分包项目工作内容：</w:t>
      </w:r>
      <w:r>
        <w:rPr>
          <w:rFonts w:hint="eastAsia" w:ascii="宋体" w:hAnsi="宋体" w:cs="宋体"/>
          <w:color w:val="000000"/>
          <w:szCs w:val="21"/>
          <w:highlight w:val="none"/>
          <w:lang w:val="en-US" w:eastAsia="zh-CN"/>
        </w:rPr>
        <w:t xml:space="preserve">  </w:t>
      </w:r>
      <w:r>
        <w:rPr>
          <w:rFonts w:hint="eastAsia" w:ascii="宋体" w:hAnsi="宋体" w:cs="宋体"/>
          <w:color w:val="000000"/>
          <w:szCs w:val="21"/>
          <w:highlight w:val="none"/>
        </w:rPr>
        <w:t>。</w:t>
      </w:r>
    </w:p>
    <w:p w14:paraId="63B1259D">
      <w:pPr>
        <w:spacing w:line="360" w:lineRule="auto"/>
        <w:ind w:firstLine="422" w:firstLineChars="200"/>
        <w:rPr>
          <w:rFonts w:hint="eastAsia" w:ascii="宋体" w:hAnsi="宋体" w:cs="宋体"/>
          <w:b/>
          <w:color w:val="000000"/>
          <w:szCs w:val="21"/>
          <w:highlight w:val="none"/>
        </w:rPr>
      </w:pPr>
      <w:r>
        <w:rPr>
          <w:rFonts w:hint="eastAsia" w:ascii="宋体" w:hAnsi="宋体" w:cs="宋体"/>
          <w:b/>
          <w:color w:val="000000"/>
          <w:szCs w:val="21"/>
          <w:highlight w:val="none"/>
        </w:rPr>
        <w:t>第二条  本合同期限</w:t>
      </w:r>
    </w:p>
    <w:p w14:paraId="439BF980">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本合同期限为：</w:t>
      </w:r>
      <w:r>
        <w:rPr>
          <w:rFonts w:hint="eastAsia" w:ascii="宋体" w:hAnsi="宋体" w:cs="宋体"/>
          <w:bCs w:val="0"/>
          <w:color w:val="000000"/>
          <w:sz w:val="21"/>
          <w:szCs w:val="21"/>
          <w:highlight w:val="none"/>
          <w:u w:val="none"/>
        </w:rPr>
        <w:t>自合同签订之日起</w:t>
      </w:r>
      <w:r>
        <w:rPr>
          <w:rFonts w:hint="eastAsia" w:ascii="宋体" w:hAnsi="宋体" w:cs="宋体"/>
          <w:bCs w:val="0"/>
          <w:color w:val="000000"/>
          <w:szCs w:val="21"/>
          <w:highlight w:val="none"/>
          <w:lang w:val="en-US" w:eastAsia="zh-CN"/>
        </w:rPr>
        <w:t>一年</w:t>
      </w:r>
      <w:r>
        <w:rPr>
          <w:rFonts w:hint="eastAsia" w:ascii="宋体" w:hAnsi="宋体" w:cs="宋体"/>
          <w:bCs w:val="0"/>
          <w:color w:val="000000"/>
          <w:szCs w:val="21"/>
          <w:highlight w:val="none"/>
        </w:rPr>
        <w:t>。</w:t>
      </w:r>
    </w:p>
    <w:p w14:paraId="649C8FA2">
      <w:pPr>
        <w:spacing w:line="360" w:lineRule="auto"/>
        <w:ind w:firstLine="420" w:firstLineChars="200"/>
        <w:rPr>
          <w:rFonts w:hint="eastAsia" w:ascii="宋体" w:hAnsi="宋体" w:eastAsia="宋体" w:cs="宋体"/>
          <w:bCs w:val="0"/>
          <w:color w:val="000000"/>
          <w:kern w:val="2"/>
          <w:sz w:val="21"/>
          <w:szCs w:val="21"/>
          <w:highlight w:val="none"/>
          <w:lang w:val="en-US" w:eastAsia="zh-CN" w:bidi="ar-SA"/>
        </w:rPr>
      </w:pPr>
      <w:r>
        <w:rPr>
          <w:rFonts w:hint="eastAsia" w:ascii="宋体" w:hAnsi="宋体" w:eastAsia="宋体" w:cs="宋体"/>
          <w:bCs w:val="0"/>
          <w:color w:val="000000"/>
          <w:kern w:val="2"/>
          <w:sz w:val="21"/>
          <w:szCs w:val="21"/>
          <w:highlight w:val="none"/>
          <w:lang w:val="en-US" w:eastAsia="zh-CN" w:bidi="ar-SA"/>
        </w:rPr>
        <w:t>本项目的合同履行截止日期最长不超过2026年12月31日，合同一年一签。第一年为本项目的合同期限，第一年合同期限满后，招标人根据业主单位是否续签日常养护合同情况及中标人的合同履约情况确定是否续签合同，但续签合同日期最长不超过2026年12月31日(招标人有权要求中标人服务至招标人2026 年度养护合同任务实际完成为止)，招标人决定续签的，中标人无约定事由，不得拒绝续签合同。</w:t>
      </w:r>
    </w:p>
    <w:p w14:paraId="10845D3F">
      <w:pPr>
        <w:spacing w:line="360" w:lineRule="auto"/>
        <w:ind w:firstLine="422" w:firstLineChars="200"/>
        <w:rPr>
          <w:rFonts w:hint="eastAsia" w:ascii="宋体" w:hAnsi="宋体" w:cs="宋体"/>
          <w:b/>
          <w:color w:val="000000"/>
          <w:szCs w:val="21"/>
          <w:highlight w:val="none"/>
        </w:rPr>
      </w:pPr>
      <w:r>
        <w:rPr>
          <w:rFonts w:hint="eastAsia" w:ascii="宋体" w:hAnsi="宋体" w:cs="宋体"/>
          <w:b/>
          <w:color w:val="000000"/>
          <w:szCs w:val="21"/>
          <w:highlight w:val="none"/>
        </w:rPr>
        <w:t>第三条  质量标准</w:t>
      </w:r>
    </w:p>
    <w:p w14:paraId="6385C8B9">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1.分包工程质量应符合业主方有关质量标准要求，且同时达到</w:t>
      </w:r>
      <w:r>
        <w:rPr>
          <w:rFonts w:hint="eastAsia" w:ascii="宋体" w:hAnsi="宋体" w:cs="宋体"/>
          <w:color w:val="000000"/>
          <w:szCs w:val="21"/>
          <w:highlight w:val="none"/>
          <w:u w:val="single"/>
        </w:rPr>
        <w:t xml:space="preserve">   行业  </w:t>
      </w:r>
      <w:r>
        <w:rPr>
          <w:rFonts w:hint="eastAsia" w:ascii="宋体" w:hAnsi="宋体" w:cs="宋体"/>
          <w:color w:val="000000"/>
          <w:szCs w:val="21"/>
          <w:highlight w:val="none"/>
        </w:rPr>
        <w:t>标准，工程质量以业主方、本合同甲方、监理方的验收认定为准。</w:t>
      </w:r>
    </w:p>
    <w:p w14:paraId="541E6A48">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2.乙方除遵循上述标准外，还应遵循：</w:t>
      </w:r>
    </w:p>
    <w:p w14:paraId="68005B98">
      <w:pPr>
        <w:numPr>
          <w:ilvl w:val="-1"/>
          <w:numId w:val="0"/>
        </w:num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cs="宋体"/>
          <w:color w:val="000000"/>
          <w:szCs w:val="21"/>
          <w:highlight w:val="none"/>
          <w:lang w:eastAsia="zh-CN"/>
        </w:rPr>
        <w:t>（</w:t>
      </w:r>
      <w:r>
        <w:rPr>
          <w:rFonts w:hint="eastAsia" w:ascii="宋体" w:hAnsi="宋体" w:cs="宋体"/>
          <w:color w:val="000000"/>
          <w:szCs w:val="21"/>
          <w:highlight w:val="none"/>
          <w:lang w:val="en-US" w:eastAsia="zh-CN"/>
        </w:rPr>
        <w:t>1</w:t>
      </w:r>
      <w:r>
        <w:rPr>
          <w:rFonts w:hint="eastAsia" w:ascii="宋体" w:hAnsi="宋体" w:cs="宋体"/>
          <w:color w:val="000000"/>
          <w:szCs w:val="21"/>
          <w:highlight w:val="none"/>
          <w:lang w:eastAsia="zh-CN"/>
        </w:rPr>
        <w:t>）</w:t>
      </w:r>
      <w:r>
        <w:rPr>
          <w:rFonts w:hint="eastAsia" w:ascii="宋体" w:hAnsi="宋体" w:cs="宋体"/>
          <w:color w:val="000000"/>
          <w:sz w:val="21"/>
          <w:szCs w:val="21"/>
          <w:highlight w:val="none"/>
        </w:rPr>
        <w:t>工程质量必须符合</w:t>
      </w:r>
      <w:r>
        <w:rPr>
          <w:rFonts w:hint="eastAsia" w:ascii="宋体" w:hAnsi="宋体" w:cs="宋体"/>
          <w:color w:val="000000"/>
          <w:sz w:val="21"/>
          <w:szCs w:val="21"/>
          <w:highlight w:val="none"/>
          <w:lang w:eastAsia="zh-CN"/>
        </w:rPr>
        <w:t>甲方</w:t>
      </w:r>
      <w:r>
        <w:rPr>
          <w:rFonts w:hint="eastAsia" w:ascii="宋体" w:hAnsi="宋体" w:cs="宋体"/>
          <w:color w:val="000000"/>
          <w:sz w:val="21"/>
          <w:szCs w:val="21"/>
          <w:highlight w:val="none"/>
        </w:rPr>
        <w:t>与深圳市交通运输局辖区管理局签订的道路设施日常养护合同中的相关要求及《深圳市交通管理设施养护施工标准（试行）》（深圳市交通公用设施管理处2019年12月发布）、《深圳市道路养护施工标准（试行）》（深圳市交通公用设施管理处2019年12月发布）、《深圳市桥梁养护施工标准》（深圳市交通公用设施管理处2019年12月发布）、《深圳市道路交通安全设施维护工程施工图设计图样（2021版）》、《道路设施养护履约、督查及绩效考核工作管理制度（2021版）》（深圳市交通运输局2021年5月发布）等深圳市交通运输局对交通安全设施工程的相关要求，在服务期限内，如国家、省、深圳市主管部门及单位对相关规定有调整的，则按新标准执行。</w:t>
      </w:r>
    </w:p>
    <w:p w14:paraId="4E483A2B">
      <w:pPr>
        <w:numPr>
          <w:ilvl w:val="-1"/>
          <w:numId w:val="0"/>
        </w:num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lang w:val="en-US" w:eastAsia="zh-CN"/>
        </w:rPr>
        <w:t>2</w:t>
      </w: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rPr>
        <w:t>本项目的检查、验收</w:t>
      </w: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lang w:val="en-US" w:eastAsia="zh-CN"/>
        </w:rPr>
        <w:t>考核</w:t>
      </w:r>
      <w:r>
        <w:rPr>
          <w:rFonts w:hint="eastAsia" w:ascii="宋体" w:hAnsi="宋体" w:cs="宋体"/>
          <w:color w:val="000000"/>
          <w:sz w:val="21"/>
          <w:szCs w:val="21"/>
          <w:highlight w:val="none"/>
        </w:rPr>
        <w:t>等，按照总包合同相应的条款履行。</w:t>
      </w:r>
      <w:r>
        <w:rPr>
          <w:rFonts w:hint="eastAsia" w:ascii="宋体" w:hAnsi="宋体" w:cs="宋体"/>
          <w:color w:val="000000"/>
          <w:sz w:val="21"/>
          <w:szCs w:val="21"/>
          <w:highlight w:val="none"/>
          <w:lang w:eastAsia="zh-CN"/>
        </w:rPr>
        <w:t>乙方</w:t>
      </w:r>
      <w:r>
        <w:rPr>
          <w:rFonts w:hint="eastAsia" w:ascii="宋体" w:hAnsi="宋体" w:cs="宋体"/>
          <w:color w:val="000000"/>
          <w:sz w:val="21"/>
          <w:szCs w:val="21"/>
          <w:highlight w:val="none"/>
        </w:rPr>
        <w:t>应就分包工程向</w:t>
      </w:r>
      <w:r>
        <w:rPr>
          <w:rFonts w:hint="eastAsia" w:ascii="宋体" w:hAnsi="宋体" w:cs="宋体"/>
          <w:color w:val="000000"/>
          <w:sz w:val="21"/>
          <w:szCs w:val="21"/>
          <w:highlight w:val="none"/>
          <w:lang w:eastAsia="zh-CN"/>
        </w:rPr>
        <w:t>甲方</w:t>
      </w:r>
      <w:r>
        <w:rPr>
          <w:rFonts w:hint="eastAsia" w:ascii="宋体" w:hAnsi="宋体" w:cs="宋体"/>
          <w:color w:val="000000"/>
          <w:sz w:val="21"/>
          <w:szCs w:val="21"/>
          <w:highlight w:val="none"/>
        </w:rPr>
        <w:t>承担总包合同约定的</w:t>
      </w:r>
      <w:r>
        <w:rPr>
          <w:rFonts w:hint="eastAsia" w:ascii="宋体" w:hAnsi="宋体" w:cs="宋体"/>
          <w:color w:val="000000"/>
          <w:sz w:val="21"/>
          <w:szCs w:val="21"/>
          <w:highlight w:val="none"/>
          <w:lang w:eastAsia="zh-CN"/>
        </w:rPr>
        <w:t>甲方</w:t>
      </w:r>
      <w:r>
        <w:rPr>
          <w:rFonts w:hint="eastAsia" w:ascii="宋体" w:hAnsi="宋体" w:cs="宋体"/>
          <w:color w:val="000000"/>
          <w:sz w:val="21"/>
          <w:szCs w:val="21"/>
          <w:highlight w:val="none"/>
        </w:rPr>
        <w:t>应承担的义务。</w:t>
      </w:r>
      <w:r>
        <w:rPr>
          <w:rFonts w:hint="eastAsia" w:ascii="宋体" w:hAnsi="宋体" w:cs="宋体"/>
          <w:color w:val="000000"/>
          <w:sz w:val="21"/>
          <w:szCs w:val="21"/>
          <w:highlight w:val="none"/>
          <w:lang w:eastAsia="zh-CN"/>
        </w:rPr>
        <w:t>乙方</w:t>
      </w:r>
      <w:r>
        <w:rPr>
          <w:rFonts w:hint="eastAsia" w:ascii="宋体" w:hAnsi="宋体" w:cs="宋体"/>
          <w:color w:val="000000"/>
          <w:sz w:val="21"/>
          <w:szCs w:val="21"/>
          <w:highlight w:val="none"/>
        </w:rPr>
        <w:t>应允许并配合</w:t>
      </w:r>
      <w:r>
        <w:rPr>
          <w:rFonts w:hint="eastAsia" w:ascii="宋体" w:hAnsi="宋体" w:cs="宋体"/>
          <w:color w:val="000000"/>
          <w:sz w:val="21"/>
          <w:szCs w:val="21"/>
          <w:highlight w:val="none"/>
          <w:lang w:eastAsia="zh-CN"/>
        </w:rPr>
        <w:t>甲方</w:t>
      </w:r>
      <w:r>
        <w:rPr>
          <w:rFonts w:hint="eastAsia" w:ascii="宋体" w:hAnsi="宋体" w:cs="宋体"/>
          <w:color w:val="000000"/>
          <w:sz w:val="21"/>
          <w:szCs w:val="21"/>
          <w:highlight w:val="none"/>
        </w:rPr>
        <w:t>、技术咨询服务单位及</w:t>
      </w:r>
      <w:r>
        <w:rPr>
          <w:rFonts w:hint="eastAsia" w:ascii="宋体" w:hAnsi="宋体" w:cs="宋体"/>
          <w:color w:val="000000"/>
          <w:sz w:val="21"/>
          <w:szCs w:val="21"/>
          <w:highlight w:val="none"/>
          <w:lang w:eastAsia="zh-CN"/>
        </w:rPr>
        <w:t>甲方</w:t>
      </w:r>
      <w:r>
        <w:rPr>
          <w:rFonts w:hint="eastAsia" w:ascii="宋体" w:hAnsi="宋体" w:cs="宋体"/>
          <w:color w:val="000000"/>
          <w:sz w:val="21"/>
          <w:szCs w:val="21"/>
          <w:highlight w:val="none"/>
        </w:rPr>
        <w:t>业主等相关单位进入</w:t>
      </w:r>
      <w:r>
        <w:rPr>
          <w:rFonts w:hint="eastAsia" w:ascii="宋体" w:hAnsi="宋体" w:cs="宋体"/>
          <w:color w:val="000000"/>
          <w:sz w:val="21"/>
          <w:szCs w:val="21"/>
          <w:highlight w:val="none"/>
          <w:lang w:eastAsia="zh-CN"/>
        </w:rPr>
        <w:t>乙方</w:t>
      </w:r>
      <w:r>
        <w:rPr>
          <w:rFonts w:hint="eastAsia" w:ascii="宋体" w:hAnsi="宋体" w:cs="宋体"/>
          <w:color w:val="000000"/>
          <w:sz w:val="21"/>
          <w:szCs w:val="21"/>
          <w:highlight w:val="none"/>
        </w:rPr>
        <w:t>施工场地检查质量。对检查中提出的隐患或问题按照有关法律、法规、规章制度进行整改，及时消除隐患或问题。</w:t>
      </w:r>
      <w:r>
        <w:rPr>
          <w:rFonts w:hint="eastAsia" w:ascii="宋体" w:hAnsi="宋体" w:cs="宋体"/>
          <w:color w:val="000000"/>
          <w:sz w:val="21"/>
          <w:szCs w:val="21"/>
          <w:highlight w:val="none"/>
          <w:lang w:eastAsia="zh-CN"/>
        </w:rPr>
        <w:t>乙方</w:t>
      </w:r>
      <w:r>
        <w:rPr>
          <w:rFonts w:hint="eastAsia" w:ascii="宋体" w:hAnsi="宋体" w:cs="宋体"/>
          <w:color w:val="000000"/>
          <w:sz w:val="21"/>
          <w:szCs w:val="21"/>
          <w:highlight w:val="none"/>
        </w:rPr>
        <w:t>应积极配合</w:t>
      </w:r>
      <w:r>
        <w:rPr>
          <w:rFonts w:hint="eastAsia" w:ascii="宋体" w:hAnsi="宋体" w:cs="宋体"/>
          <w:color w:val="000000"/>
          <w:sz w:val="21"/>
          <w:szCs w:val="21"/>
          <w:highlight w:val="none"/>
          <w:lang w:eastAsia="zh-CN"/>
        </w:rPr>
        <w:t>甲方</w:t>
      </w:r>
      <w:r>
        <w:rPr>
          <w:rFonts w:hint="eastAsia" w:ascii="宋体" w:hAnsi="宋体" w:cs="宋体"/>
          <w:color w:val="000000"/>
          <w:sz w:val="21"/>
          <w:szCs w:val="21"/>
          <w:highlight w:val="none"/>
        </w:rPr>
        <w:t>组织验收。项目竣工验收未能通过，</w:t>
      </w:r>
      <w:r>
        <w:rPr>
          <w:rFonts w:hint="eastAsia" w:ascii="宋体" w:hAnsi="宋体" w:cs="宋体"/>
          <w:color w:val="000000"/>
          <w:sz w:val="21"/>
          <w:szCs w:val="21"/>
          <w:highlight w:val="none"/>
          <w:lang w:eastAsia="zh-CN"/>
        </w:rPr>
        <w:t>乙方</w:t>
      </w:r>
      <w:r>
        <w:rPr>
          <w:rFonts w:hint="eastAsia" w:ascii="宋体" w:hAnsi="宋体" w:cs="宋体"/>
          <w:color w:val="000000"/>
          <w:sz w:val="21"/>
          <w:szCs w:val="21"/>
          <w:highlight w:val="none"/>
        </w:rPr>
        <w:t>负责修复相应缺陷并承担相应的质量责任。</w:t>
      </w:r>
      <w:r>
        <w:rPr>
          <w:rFonts w:hint="eastAsia" w:ascii="宋体" w:hAnsi="宋体" w:cs="宋体"/>
          <w:color w:val="000000"/>
          <w:sz w:val="21"/>
          <w:szCs w:val="21"/>
          <w:highlight w:val="none"/>
          <w:lang w:eastAsia="zh-CN"/>
        </w:rPr>
        <w:t>乙方</w:t>
      </w:r>
      <w:r>
        <w:rPr>
          <w:rFonts w:hint="eastAsia" w:ascii="宋体" w:hAnsi="宋体" w:cs="宋体"/>
          <w:color w:val="000000"/>
          <w:sz w:val="21"/>
          <w:szCs w:val="21"/>
          <w:highlight w:val="none"/>
        </w:rPr>
        <w:t>承担自身原因引起的质量事故责任和因此发生的费用。</w:t>
      </w:r>
    </w:p>
    <w:p w14:paraId="69A27B5F">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lang w:val="en-US" w:eastAsia="zh-CN"/>
        </w:rPr>
        <w:t>3</w:t>
      </w:r>
      <w:r>
        <w:rPr>
          <w:rFonts w:hint="eastAsia" w:ascii="宋体" w:hAnsi="宋体" w:cs="宋体"/>
          <w:color w:val="000000"/>
          <w:sz w:val="21"/>
          <w:szCs w:val="21"/>
          <w:highlight w:val="none"/>
          <w:lang w:eastAsia="zh-CN"/>
        </w:rPr>
        <w:t>）甲方</w:t>
      </w:r>
      <w:r>
        <w:rPr>
          <w:rFonts w:hint="eastAsia" w:ascii="宋体" w:hAnsi="宋体" w:cs="宋体"/>
          <w:color w:val="000000"/>
          <w:sz w:val="21"/>
          <w:szCs w:val="21"/>
          <w:highlight w:val="none"/>
        </w:rPr>
        <w:t>认为材料不符合质量要求，</w:t>
      </w:r>
      <w:r>
        <w:rPr>
          <w:rFonts w:hint="eastAsia" w:ascii="宋体" w:hAnsi="宋体" w:cs="宋体"/>
          <w:color w:val="000000"/>
          <w:sz w:val="21"/>
          <w:szCs w:val="21"/>
          <w:highlight w:val="none"/>
          <w:lang w:eastAsia="zh-CN"/>
        </w:rPr>
        <w:t>乙方</w:t>
      </w:r>
      <w:r>
        <w:rPr>
          <w:rFonts w:hint="eastAsia" w:ascii="宋体" w:hAnsi="宋体" w:cs="宋体"/>
          <w:color w:val="000000"/>
          <w:sz w:val="21"/>
          <w:szCs w:val="21"/>
          <w:highlight w:val="none"/>
        </w:rPr>
        <w:t>如有异议的，</w:t>
      </w:r>
      <w:r>
        <w:rPr>
          <w:rFonts w:hint="eastAsia" w:ascii="宋体" w:hAnsi="宋体" w:cs="宋体"/>
          <w:color w:val="000000"/>
          <w:sz w:val="21"/>
          <w:szCs w:val="21"/>
          <w:highlight w:val="none"/>
          <w:lang w:eastAsia="zh-CN"/>
        </w:rPr>
        <w:t>乙方</w:t>
      </w:r>
      <w:r>
        <w:rPr>
          <w:rFonts w:hint="eastAsia" w:ascii="宋体" w:hAnsi="宋体" w:cs="宋体"/>
          <w:color w:val="000000"/>
          <w:sz w:val="21"/>
          <w:szCs w:val="21"/>
          <w:highlight w:val="none"/>
        </w:rPr>
        <w:t>可选择符合深圳市行业要求的第三方检验机构进行检验，</w:t>
      </w:r>
      <w:r>
        <w:rPr>
          <w:rFonts w:hint="eastAsia" w:ascii="宋体" w:hAnsi="宋体" w:cs="宋体"/>
          <w:color w:val="000000"/>
          <w:sz w:val="21"/>
          <w:szCs w:val="21"/>
          <w:highlight w:val="none"/>
          <w:lang w:eastAsia="zh-CN"/>
        </w:rPr>
        <w:t>甲方</w:t>
      </w:r>
      <w:r>
        <w:rPr>
          <w:rFonts w:hint="eastAsia" w:ascii="宋体" w:hAnsi="宋体" w:cs="宋体"/>
          <w:color w:val="000000"/>
          <w:sz w:val="21"/>
          <w:szCs w:val="21"/>
          <w:highlight w:val="none"/>
        </w:rPr>
        <w:t>全程参与检验过程。检验结果材料合格的，检验费由</w:t>
      </w:r>
      <w:r>
        <w:rPr>
          <w:rFonts w:hint="eastAsia" w:ascii="宋体" w:hAnsi="宋体" w:cs="宋体"/>
          <w:color w:val="000000"/>
          <w:sz w:val="21"/>
          <w:szCs w:val="21"/>
          <w:highlight w:val="none"/>
          <w:lang w:eastAsia="zh-CN"/>
        </w:rPr>
        <w:t>甲方</w:t>
      </w:r>
      <w:r>
        <w:rPr>
          <w:rFonts w:hint="eastAsia" w:ascii="宋体" w:hAnsi="宋体" w:cs="宋体"/>
          <w:color w:val="000000"/>
          <w:sz w:val="21"/>
          <w:szCs w:val="21"/>
          <w:highlight w:val="none"/>
        </w:rPr>
        <w:t>支付；检验结果材料不合格的，检验费由</w:t>
      </w:r>
      <w:r>
        <w:rPr>
          <w:rFonts w:hint="eastAsia" w:ascii="宋体" w:hAnsi="宋体" w:cs="宋体"/>
          <w:color w:val="000000"/>
          <w:sz w:val="21"/>
          <w:szCs w:val="21"/>
          <w:highlight w:val="none"/>
          <w:lang w:eastAsia="zh-CN"/>
        </w:rPr>
        <w:t>乙方</w:t>
      </w:r>
      <w:r>
        <w:rPr>
          <w:rFonts w:hint="eastAsia" w:ascii="宋体" w:hAnsi="宋体" w:cs="宋体"/>
          <w:color w:val="000000"/>
          <w:sz w:val="21"/>
          <w:szCs w:val="21"/>
          <w:highlight w:val="none"/>
        </w:rPr>
        <w:t>承担。</w:t>
      </w:r>
    </w:p>
    <w:p w14:paraId="7352EB5A">
      <w:pPr>
        <w:spacing w:line="360" w:lineRule="auto"/>
        <w:ind w:firstLine="420" w:firstLineChars="200"/>
        <w:rPr>
          <w:rFonts w:hint="eastAsia" w:ascii="宋体" w:hAnsi="宋体" w:cs="宋体"/>
          <w:color w:val="000000"/>
          <w:szCs w:val="21"/>
          <w:highlight w:val="none"/>
        </w:rPr>
      </w:pPr>
    </w:p>
    <w:p w14:paraId="6058AB1C">
      <w:pPr>
        <w:spacing w:line="360" w:lineRule="auto"/>
        <w:ind w:firstLine="422" w:firstLineChars="200"/>
        <w:rPr>
          <w:rFonts w:hint="eastAsia" w:ascii="宋体" w:hAnsi="宋体" w:cs="宋体"/>
          <w:b/>
          <w:color w:val="000000"/>
          <w:szCs w:val="21"/>
          <w:highlight w:val="none"/>
        </w:rPr>
      </w:pPr>
      <w:r>
        <w:rPr>
          <w:rFonts w:hint="eastAsia" w:ascii="宋体" w:hAnsi="宋体" w:cs="宋体"/>
          <w:b/>
          <w:color w:val="000000"/>
          <w:szCs w:val="21"/>
          <w:highlight w:val="none"/>
        </w:rPr>
        <w:t>第四条  合同文件的组成与解释顺序</w:t>
      </w:r>
    </w:p>
    <w:p w14:paraId="5D6BD816">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本专业分包合同与下列文件一起构成分包合同文件：</w:t>
      </w:r>
    </w:p>
    <w:p w14:paraId="60F9B3D4">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（一）本合同及其补充协议书；</w:t>
      </w:r>
    </w:p>
    <w:p w14:paraId="48C3B7F8">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（二）中标通知书；</w:t>
      </w:r>
    </w:p>
    <w:p w14:paraId="2F44DC55">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（三）标准、规范及有关技术文件；</w:t>
      </w:r>
    </w:p>
    <w:p w14:paraId="6A97732C">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（四）其他：</w:t>
      </w:r>
      <w:r>
        <w:rPr>
          <w:rFonts w:hint="eastAsia" w:ascii="宋体" w:hAnsi="宋体" w:cs="宋体"/>
          <w:color w:val="000000"/>
          <w:szCs w:val="21"/>
          <w:highlight w:val="none"/>
          <w:u w:val="single"/>
        </w:rPr>
        <w:t xml:space="preserve"> </w:t>
      </w:r>
      <w:r>
        <w:rPr>
          <w:rFonts w:hint="eastAsia" w:ascii="宋体" w:hAnsi="宋体" w:cs="宋体"/>
          <w:szCs w:val="21"/>
          <w:highlight w:val="none"/>
          <w:u w:val="single"/>
        </w:rPr>
        <w:t>本项目采购文件</w:t>
      </w:r>
      <w:r>
        <w:rPr>
          <w:rFonts w:hint="eastAsia" w:ascii="宋体" w:hAnsi="宋体" w:cs="宋体"/>
          <w:szCs w:val="21"/>
          <w:highlight w:val="none"/>
          <w:u w:val="single"/>
          <w:lang w:eastAsia="zh-CN"/>
        </w:rPr>
        <w:t>、</w:t>
      </w:r>
      <w:r>
        <w:rPr>
          <w:rFonts w:hint="eastAsia" w:ascii="宋体" w:hAnsi="宋体" w:cs="宋体"/>
          <w:szCs w:val="21"/>
          <w:highlight w:val="none"/>
          <w:u w:val="single"/>
        </w:rPr>
        <w:t>本项目乙方投标文件</w:t>
      </w:r>
      <w:r>
        <w:rPr>
          <w:rFonts w:hint="eastAsia" w:ascii="宋体" w:hAnsi="宋体" w:cs="宋体"/>
          <w:szCs w:val="21"/>
          <w:highlight w:val="none"/>
          <w:u w:val="single"/>
          <w:lang w:eastAsia="zh-CN"/>
        </w:rPr>
        <w:t>、本项目总包合同等</w:t>
      </w:r>
      <w:r>
        <w:rPr>
          <w:rFonts w:hint="eastAsia" w:ascii="宋体" w:hAnsi="宋体" w:cs="宋体"/>
          <w:color w:val="000000"/>
          <w:szCs w:val="21"/>
          <w:highlight w:val="none"/>
          <w:u w:val="single"/>
        </w:rPr>
        <w:t xml:space="preserve"> </w:t>
      </w:r>
      <w:r>
        <w:rPr>
          <w:rFonts w:hint="eastAsia" w:ascii="宋体" w:hAnsi="宋体" w:cs="宋体"/>
          <w:color w:val="000000"/>
          <w:szCs w:val="21"/>
          <w:highlight w:val="none"/>
        </w:rPr>
        <w:t>。</w:t>
      </w:r>
    </w:p>
    <w:p w14:paraId="2D0E0411">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在分包合同订立及履行过程中分包合同当事人签署的与分包合同有关的文件均构成分包合同文件组成部分。前述各项分包合同文件包括合同当事人就该项分包合同文件作出的补充和修改，属于同一类内容的文件，应以最新签署的为准。对文件内容存在多种不同理解的，应从有利于甲方的角度对文件进行解释。</w:t>
      </w:r>
    </w:p>
    <w:p w14:paraId="172CE21B">
      <w:pPr>
        <w:spacing w:line="360" w:lineRule="auto"/>
        <w:ind w:firstLine="422" w:firstLineChars="200"/>
        <w:rPr>
          <w:rFonts w:hint="eastAsia" w:ascii="宋体" w:hAnsi="宋体" w:cs="宋体"/>
          <w:b/>
          <w:color w:val="000000"/>
          <w:szCs w:val="21"/>
          <w:highlight w:val="none"/>
        </w:rPr>
      </w:pPr>
      <w:r>
        <w:rPr>
          <w:rFonts w:hint="eastAsia" w:ascii="宋体" w:hAnsi="宋体" w:cs="宋体"/>
          <w:b/>
          <w:color w:val="000000"/>
          <w:szCs w:val="21"/>
          <w:highlight w:val="none"/>
        </w:rPr>
        <w:t>第五条  合同价格</w:t>
      </w:r>
    </w:p>
    <w:p w14:paraId="43340254">
      <w:pPr>
        <w:spacing w:line="360" w:lineRule="auto"/>
        <w:ind w:firstLine="420" w:firstLineChars="200"/>
        <w:rPr>
          <w:rFonts w:hint="eastAsia" w:ascii="宋体" w:hAnsi="宋体" w:cs="宋体"/>
          <w:color w:val="000000"/>
          <w:szCs w:val="21"/>
          <w:highlight w:val="none"/>
          <w:u w:val="single"/>
        </w:rPr>
      </w:pPr>
      <w:r>
        <w:rPr>
          <w:rFonts w:hint="eastAsia" w:ascii="宋体" w:hAnsi="宋体" w:cs="宋体"/>
          <w:color w:val="000000"/>
          <w:szCs w:val="21"/>
          <w:highlight w:val="none"/>
        </w:rPr>
        <w:t>（一）本合同采取以下第</w:t>
      </w:r>
      <w:r>
        <w:rPr>
          <w:rFonts w:hint="eastAsia" w:ascii="宋体" w:hAnsi="宋体" w:cs="宋体"/>
          <w:color w:val="000000"/>
          <w:szCs w:val="21"/>
          <w:highlight w:val="none"/>
          <w:u w:val="single"/>
        </w:rPr>
        <w:t></w:t>
      </w:r>
      <w:r>
        <w:rPr>
          <w:rFonts w:hint="eastAsia" w:ascii="宋体" w:hAnsi="宋体" w:cs="宋体"/>
          <w:color w:val="000000"/>
          <w:szCs w:val="21"/>
          <w:highlight w:val="none"/>
          <w:u w:val="single"/>
          <w:lang w:val="en-US" w:eastAsia="zh-CN"/>
        </w:rPr>
        <w:t>1</w:t>
      </w:r>
      <w:r>
        <w:rPr>
          <w:rFonts w:hint="eastAsia" w:ascii="宋体" w:hAnsi="宋体" w:cs="宋体"/>
          <w:color w:val="000000"/>
          <w:szCs w:val="21"/>
          <w:highlight w:val="none"/>
          <w:u w:val="single"/>
        </w:rPr>
        <w:t></w:t>
      </w:r>
      <w:r>
        <w:rPr>
          <w:rFonts w:hint="eastAsia" w:ascii="宋体" w:hAnsi="宋体" w:cs="宋体"/>
          <w:color w:val="000000"/>
          <w:szCs w:val="21"/>
          <w:highlight w:val="none"/>
        </w:rPr>
        <w:t>种合同价格形式：</w:t>
      </w:r>
    </w:p>
    <w:p w14:paraId="26BCFD1F">
      <w:pPr>
        <w:numPr>
          <w:ilvl w:val="255"/>
          <w:numId w:val="0"/>
        </w:numPr>
        <w:spacing w:line="360" w:lineRule="auto"/>
        <w:ind w:left="0" w:leftChars="0" w:firstLine="420" w:firstLineChars="200"/>
        <w:outlineLvl w:val="9"/>
        <w:rPr>
          <w:rFonts w:hint="eastAsia" w:ascii="宋体" w:hAnsi="宋体" w:cs="宋体"/>
          <w:bCs w:val="0"/>
          <w:color w:val="000000"/>
          <w:sz w:val="21"/>
          <w:szCs w:val="21"/>
          <w:highlight w:val="none"/>
        </w:rPr>
      </w:pPr>
      <w:r>
        <w:rPr>
          <w:rFonts w:hint="eastAsia" w:ascii="宋体" w:hAnsi="宋体" w:cs="宋体"/>
          <w:color w:val="000000"/>
          <w:szCs w:val="21"/>
          <w:highlight w:val="none"/>
        </w:rPr>
        <w:t>1.单价合同，具体内容</w:t>
      </w:r>
      <w:r>
        <w:rPr>
          <w:rFonts w:hint="eastAsia" w:ascii="宋体" w:hAnsi="宋体" w:cs="宋体"/>
          <w:bCs w:val="0"/>
          <w:color w:val="000000"/>
          <w:sz w:val="21"/>
          <w:szCs w:val="21"/>
          <w:highlight w:val="none"/>
        </w:rPr>
        <w:t>详见</w:t>
      </w:r>
      <w:r>
        <w:rPr>
          <w:rFonts w:hint="eastAsia" w:ascii="宋体" w:hAnsi="宋体" w:cs="宋体"/>
          <w:b w:val="0"/>
          <w:bCs w:val="0"/>
          <w:color w:val="000000"/>
          <w:sz w:val="21"/>
          <w:szCs w:val="21"/>
          <w:highlight w:val="none"/>
        </w:rPr>
        <w:t>附件1《交通安全设施专业分包采购清单》。</w:t>
      </w:r>
    </w:p>
    <w:p w14:paraId="1A92CFF6">
      <w:pPr>
        <w:spacing w:line="360" w:lineRule="auto"/>
        <w:ind w:firstLine="420" w:firstLineChars="200"/>
        <w:rPr>
          <w:rFonts w:hint="eastAsia" w:ascii="宋体" w:hAnsi="宋体" w:eastAsia="宋体" w:cs="宋体"/>
          <w:color w:val="000000"/>
          <w:szCs w:val="21"/>
          <w:highlight w:val="none"/>
          <w:lang w:eastAsia="zh-CN"/>
        </w:rPr>
      </w:pPr>
      <w:r>
        <w:rPr>
          <w:rFonts w:hint="eastAsia" w:ascii="宋体" w:hAnsi="宋体" w:cs="宋体"/>
          <w:color w:val="000000"/>
          <w:szCs w:val="21"/>
          <w:highlight w:val="none"/>
        </w:rPr>
        <w:t>2.总价合同，总价为</w:t>
      </w:r>
      <w:r>
        <w:rPr>
          <w:rFonts w:hint="eastAsia" w:ascii="宋体" w:hAnsi="宋体" w:cs="宋体"/>
          <w:color w:val="000000"/>
          <w:szCs w:val="21"/>
          <w:highlight w:val="none"/>
          <w:u w:val="single"/>
        </w:rPr>
        <w:t>/</w:t>
      </w:r>
      <w:r>
        <w:rPr>
          <w:rFonts w:hint="eastAsia" w:ascii="宋体" w:hAnsi="宋体" w:cs="宋体"/>
          <w:color w:val="000000"/>
          <w:szCs w:val="21"/>
          <w:highlight w:val="none"/>
        </w:rPr>
        <w:t>元（大写人民币：</w:t>
      </w:r>
      <w:r>
        <w:rPr>
          <w:rFonts w:hint="eastAsia" w:ascii="宋体" w:hAnsi="宋体" w:cs="宋体"/>
          <w:color w:val="000000"/>
          <w:szCs w:val="21"/>
          <w:highlight w:val="none"/>
          <w:u w:val="single"/>
        </w:rPr>
        <w:t xml:space="preserve">  /  </w:t>
      </w:r>
      <w:r>
        <w:rPr>
          <w:rFonts w:hint="eastAsia" w:ascii="宋体" w:hAnsi="宋体" w:cs="宋体"/>
          <w:color w:val="000000"/>
          <w:szCs w:val="21"/>
          <w:highlight w:val="none"/>
        </w:rPr>
        <w:t>），总价包干</w:t>
      </w:r>
      <w:r>
        <w:rPr>
          <w:rFonts w:hint="eastAsia" w:ascii="宋体" w:hAnsi="宋体" w:cs="宋体"/>
          <w:color w:val="000000"/>
          <w:szCs w:val="21"/>
          <w:highlight w:val="none"/>
          <w:lang w:eastAsia="zh-CN"/>
        </w:rPr>
        <w:t>。</w:t>
      </w:r>
    </w:p>
    <w:p w14:paraId="5072E8C4">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3.其他价格形式：</w:t>
      </w:r>
      <w:r>
        <w:rPr>
          <w:rFonts w:hint="eastAsia" w:ascii="宋体" w:hAnsi="宋体" w:cs="宋体"/>
          <w:color w:val="000000"/>
          <w:szCs w:val="21"/>
          <w:highlight w:val="none"/>
          <w:u w:val="single"/>
        </w:rPr>
        <w:t>/</w:t>
      </w:r>
      <w:r>
        <w:rPr>
          <w:rFonts w:hint="eastAsia" w:ascii="宋体" w:hAnsi="宋体" w:cs="宋体"/>
          <w:color w:val="000000"/>
          <w:szCs w:val="21"/>
          <w:highlight w:val="none"/>
        </w:rPr>
        <w:t>。</w:t>
      </w:r>
    </w:p>
    <w:p w14:paraId="3A6499DD">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（二）名词释义</w:t>
      </w:r>
    </w:p>
    <w:p w14:paraId="6EC8B1A6">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1.单价合同</w:t>
      </w:r>
    </w:p>
    <w:p w14:paraId="3E6686BB">
      <w:pPr>
        <w:widowControl/>
        <w:numPr>
          <w:ilvl w:val="-1"/>
          <w:numId w:val="0"/>
        </w:numPr>
        <w:spacing w:after="0" w:line="360" w:lineRule="auto"/>
        <w:ind w:left="0" w:firstLine="420" w:firstLineChars="200"/>
        <w:rPr>
          <w:rFonts w:hint="eastAsia" w:ascii="宋体" w:hAnsi="宋体" w:cs="宋体"/>
          <w:b w:val="0"/>
          <w:bCs w:val="0"/>
          <w:color w:val="000000"/>
          <w:sz w:val="21"/>
          <w:szCs w:val="21"/>
          <w:highlight w:val="none"/>
          <w:u w:val="none"/>
        </w:rPr>
      </w:pPr>
      <w:r>
        <w:rPr>
          <w:rFonts w:hint="eastAsia" w:ascii="宋体" w:hAnsi="宋体" w:cs="宋体"/>
          <w:color w:val="000000"/>
          <w:szCs w:val="21"/>
          <w:highlight w:val="none"/>
        </w:rPr>
        <w:t>指甲乙双方约定以工程量清单及其综合单价进行合同价格计算</w:t>
      </w:r>
      <w:r>
        <w:rPr>
          <w:rFonts w:hint="eastAsia" w:ascii="宋体" w:hAnsi="宋体" w:cs="宋体"/>
          <w:color w:val="000000"/>
          <w:szCs w:val="21"/>
          <w:highlight w:val="none"/>
          <w:lang w:eastAsia="zh-CN"/>
        </w:rPr>
        <w:t>。</w:t>
      </w:r>
    </w:p>
    <w:p w14:paraId="6D02D9B7">
      <w:pPr>
        <w:widowControl w:val="0"/>
        <w:numPr>
          <w:ilvl w:val="-1"/>
          <w:numId w:val="0"/>
        </w:numPr>
        <w:tabs>
          <w:tab w:val="left" w:pos="567"/>
          <w:tab w:val="left" w:pos="709"/>
        </w:tabs>
        <w:spacing w:after="78" w:line="360" w:lineRule="auto"/>
        <w:ind w:left="0" w:firstLine="420" w:firstLineChars="200"/>
        <w:rPr>
          <w:rFonts w:ascii="宋体" w:hAnsi="宋体" w:cs="宋体"/>
          <w:b/>
          <w:bCs/>
          <w:color w:val="FF0000"/>
          <w:sz w:val="21"/>
          <w:szCs w:val="21"/>
          <w:highlight w:val="none"/>
          <w:u w:val="single"/>
        </w:rPr>
      </w:pPr>
      <w:r>
        <w:rPr>
          <w:rFonts w:hint="eastAsia" w:ascii="宋体" w:hAnsi="宋体" w:cs="宋体"/>
          <w:color w:val="000000"/>
          <w:szCs w:val="21"/>
          <w:highlight w:val="none"/>
          <w:lang w:eastAsia="zh-CN"/>
        </w:rPr>
        <w:t>（</w:t>
      </w:r>
      <w:r>
        <w:rPr>
          <w:rFonts w:hint="eastAsia" w:ascii="宋体" w:hAnsi="宋体" w:cs="宋体"/>
          <w:color w:val="000000"/>
          <w:szCs w:val="21"/>
          <w:highlight w:val="none"/>
          <w:lang w:val="en-US" w:eastAsia="zh-CN"/>
        </w:rPr>
        <w:t>1</w:t>
      </w:r>
      <w:r>
        <w:rPr>
          <w:rFonts w:hint="eastAsia" w:ascii="宋体" w:hAnsi="宋体" w:cs="宋体"/>
          <w:color w:val="000000"/>
          <w:szCs w:val="21"/>
          <w:highlight w:val="none"/>
          <w:lang w:eastAsia="zh-CN"/>
        </w:rPr>
        <w:t>）</w:t>
      </w:r>
      <w:r>
        <w:rPr>
          <w:rFonts w:ascii="宋体" w:hAnsi="宋体" w:cs="宋体"/>
          <w:b/>
          <w:bCs/>
          <w:color w:val="FF0000"/>
          <w:sz w:val="21"/>
          <w:szCs w:val="21"/>
          <w:highlight w:val="none"/>
          <w:u w:val="single"/>
        </w:rPr>
        <w:t>本项目采用固定综合单价计价方式，该综合单价</w:t>
      </w:r>
      <w:r>
        <w:rPr>
          <w:rFonts w:hint="eastAsia" w:ascii="宋体" w:hAnsi="宋体" w:cs="宋体"/>
          <w:b/>
          <w:bCs/>
          <w:color w:val="FF0000"/>
          <w:sz w:val="21"/>
          <w:szCs w:val="21"/>
          <w:highlight w:val="none"/>
          <w:u w:val="single"/>
        </w:rPr>
        <w:t>包括但不限于为实施和完成工程项目所需的劳务、材料、机械、质检（自检）、安装、缺陷修复、管理、利润、保险、措施费（含交通疏解费）、规费、税金等一切费用，以及合同明示或暗示的所有责任、义务和一切风险，且合同期内不予调整。</w:t>
      </w:r>
    </w:p>
    <w:p w14:paraId="574A718E">
      <w:pPr>
        <w:widowControl w:val="0"/>
        <w:numPr>
          <w:ilvl w:val="-1"/>
          <w:numId w:val="0"/>
        </w:numPr>
        <w:tabs>
          <w:tab w:val="left" w:pos="567"/>
          <w:tab w:val="left" w:pos="709"/>
        </w:tabs>
        <w:spacing w:after="78" w:line="360" w:lineRule="auto"/>
        <w:ind w:left="0" w:firstLine="422" w:firstLineChars="200"/>
        <w:jc w:val="both"/>
        <w:rPr>
          <w:rFonts w:hint="eastAsia" w:ascii="宋体" w:hAnsi="宋体" w:cs="宋体"/>
          <w:b/>
          <w:bCs/>
          <w:color w:val="FF0000"/>
          <w:sz w:val="21"/>
          <w:szCs w:val="21"/>
          <w:highlight w:val="none"/>
          <w:u w:val="single"/>
        </w:rPr>
      </w:pPr>
      <w:r>
        <w:rPr>
          <w:rFonts w:hint="eastAsia" w:ascii="宋体" w:hAnsi="宋体" w:cs="宋体"/>
          <w:b/>
          <w:bCs/>
          <w:color w:val="FF0000"/>
          <w:sz w:val="21"/>
          <w:szCs w:val="21"/>
          <w:highlight w:val="none"/>
          <w:u w:val="single"/>
          <w:lang w:eastAsia="zh-CN"/>
        </w:rPr>
        <w:t>（</w:t>
      </w:r>
      <w:r>
        <w:rPr>
          <w:rFonts w:hint="eastAsia" w:ascii="宋体" w:hAnsi="宋体" w:cs="宋体"/>
          <w:b/>
          <w:bCs/>
          <w:color w:val="FF0000"/>
          <w:sz w:val="21"/>
          <w:szCs w:val="21"/>
          <w:highlight w:val="none"/>
          <w:u w:val="single"/>
          <w:lang w:val="en-US" w:eastAsia="zh-CN"/>
        </w:rPr>
        <w:t>2</w:t>
      </w:r>
      <w:r>
        <w:rPr>
          <w:rFonts w:hint="eastAsia" w:ascii="宋体" w:hAnsi="宋体" w:cs="宋体"/>
          <w:b/>
          <w:bCs/>
          <w:color w:val="FF0000"/>
          <w:sz w:val="21"/>
          <w:szCs w:val="21"/>
          <w:highlight w:val="none"/>
          <w:u w:val="single"/>
          <w:lang w:eastAsia="zh-CN"/>
        </w:rPr>
        <w:t>）</w:t>
      </w:r>
      <w:r>
        <w:rPr>
          <w:rFonts w:hint="eastAsia" w:ascii="宋体" w:hAnsi="宋体" w:cs="宋体"/>
          <w:b/>
          <w:bCs/>
          <w:color w:val="FF0000"/>
          <w:sz w:val="21"/>
          <w:szCs w:val="21"/>
          <w:highlight w:val="none"/>
          <w:u w:val="single"/>
        </w:rPr>
        <w:t>本项目为专业分包，</w:t>
      </w:r>
      <w:r>
        <w:rPr>
          <w:rFonts w:hint="eastAsia" w:ascii="宋体" w:hAnsi="宋体" w:cs="宋体"/>
          <w:b/>
          <w:bCs/>
          <w:color w:val="FF0000"/>
          <w:sz w:val="21"/>
          <w:szCs w:val="21"/>
          <w:highlight w:val="none"/>
          <w:u w:val="single"/>
          <w:lang w:eastAsia="zh-CN"/>
        </w:rPr>
        <w:t>乙方</w:t>
      </w:r>
      <w:r>
        <w:rPr>
          <w:rFonts w:hint="eastAsia" w:ascii="宋体" w:hAnsi="宋体" w:cs="宋体"/>
          <w:b/>
          <w:bCs/>
          <w:color w:val="FF0000"/>
          <w:sz w:val="21"/>
          <w:szCs w:val="21"/>
          <w:highlight w:val="none"/>
          <w:u w:val="single"/>
        </w:rPr>
        <w:t>须自行处理实施过程中与相关政府职能部门、项目</w:t>
      </w:r>
      <w:r>
        <w:rPr>
          <w:rFonts w:ascii="宋体" w:hAnsi="宋体" w:cs="宋体"/>
          <w:b/>
          <w:bCs/>
          <w:color w:val="FF0000"/>
          <w:sz w:val="21"/>
          <w:szCs w:val="21"/>
          <w:highlight w:val="none"/>
          <w:u w:val="single"/>
        </w:rPr>
        <w:t>技术咨询服务单位</w:t>
      </w:r>
      <w:r>
        <w:rPr>
          <w:rFonts w:hint="eastAsia" w:ascii="宋体" w:hAnsi="宋体" w:cs="宋体"/>
          <w:b/>
          <w:bCs/>
          <w:color w:val="FF0000"/>
          <w:sz w:val="21"/>
          <w:szCs w:val="21"/>
          <w:highlight w:val="none"/>
          <w:u w:val="single"/>
        </w:rPr>
        <w:t>、业主单位</w:t>
      </w:r>
      <w:r>
        <w:rPr>
          <w:rFonts w:hint="eastAsia" w:ascii="宋体" w:hAnsi="宋体" w:cs="宋体"/>
          <w:b/>
          <w:bCs/>
          <w:color w:val="FF0000"/>
          <w:sz w:val="21"/>
          <w:szCs w:val="21"/>
          <w:highlight w:val="none"/>
          <w:u w:val="single"/>
          <w:lang w:eastAsia="zh-CN"/>
        </w:rPr>
        <w:t>等的</w:t>
      </w:r>
      <w:r>
        <w:rPr>
          <w:rFonts w:hint="eastAsia" w:ascii="宋体" w:hAnsi="宋体" w:cs="宋体"/>
          <w:b/>
          <w:bCs/>
          <w:color w:val="FF0000"/>
          <w:sz w:val="21"/>
          <w:szCs w:val="21"/>
          <w:highlight w:val="none"/>
          <w:u w:val="single"/>
        </w:rPr>
        <w:t>沟通协调，费用已包含在</w:t>
      </w:r>
      <w:r>
        <w:rPr>
          <w:rFonts w:hint="eastAsia" w:ascii="宋体" w:hAnsi="宋体" w:cs="宋体"/>
          <w:b/>
          <w:bCs/>
          <w:color w:val="FF0000"/>
          <w:sz w:val="21"/>
          <w:szCs w:val="21"/>
          <w:highlight w:val="none"/>
          <w:u w:val="single"/>
          <w:lang w:eastAsia="zh-CN"/>
        </w:rPr>
        <w:t>合同</w:t>
      </w:r>
      <w:r>
        <w:rPr>
          <w:rFonts w:hint="eastAsia" w:ascii="宋体" w:hAnsi="宋体" w:cs="宋体"/>
          <w:b/>
          <w:bCs/>
          <w:color w:val="FF0000"/>
          <w:szCs w:val="21"/>
          <w:highlight w:val="none"/>
          <w:u w:val="single"/>
        </w:rPr>
        <w:t>价格</w:t>
      </w:r>
      <w:r>
        <w:rPr>
          <w:rFonts w:hint="eastAsia" w:ascii="宋体" w:hAnsi="宋体" w:cs="宋体"/>
          <w:b/>
          <w:bCs/>
          <w:color w:val="FF0000"/>
          <w:sz w:val="21"/>
          <w:szCs w:val="21"/>
          <w:highlight w:val="none"/>
          <w:u w:val="single"/>
        </w:rPr>
        <w:t>内。</w:t>
      </w:r>
    </w:p>
    <w:p w14:paraId="094ED702">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2.总价合同</w:t>
      </w:r>
    </w:p>
    <w:p w14:paraId="17FF245D">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总价包干，一次包死，不因任何原因调整。该合同价款已经包含了乙方完成本专业分包工作所需要的一切费用，包括但不限于：</w:t>
      </w:r>
    </w:p>
    <w:p w14:paraId="3D180CCD">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（1）人工、材料、机械设备费；</w:t>
      </w:r>
    </w:p>
    <w:p w14:paraId="5EE965BD">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（2）试验检测费；</w:t>
      </w:r>
    </w:p>
    <w:p w14:paraId="1F73544C">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（3）分包工作期间的资料、竣工资料制作费；</w:t>
      </w:r>
    </w:p>
    <w:p w14:paraId="70F67338">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（4）达到设计、合同要求的质量、进度、安全文明施工所需的一切费用；</w:t>
      </w:r>
    </w:p>
    <w:p w14:paraId="7D9C7354">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（5）乙方施工过程中的人员、车辆安全保险等费用；</w:t>
      </w:r>
    </w:p>
    <w:p w14:paraId="2F0A36B8">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（6）办理建筑垃圾准运证费用，含税、含场地清理、运输、弃土、弃土场受纳处置费等；</w:t>
      </w:r>
    </w:p>
    <w:p w14:paraId="1A6AE07C">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（8）乙方各种车辆进出场及运输费用；</w:t>
      </w:r>
    </w:p>
    <w:p w14:paraId="57410631">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（9）乙方负责在甲方指定地点进行施工，并依据作业要求及时进行安全围挡，设置专人进行指挥作业，对施工掉落的渣土及时清理等与施工相关所产生的费用。</w:t>
      </w:r>
    </w:p>
    <w:p w14:paraId="51A796B1">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（10）其他：</w:t>
      </w:r>
      <w:r>
        <w:rPr>
          <w:rFonts w:hint="eastAsia" w:ascii="宋体" w:hAnsi="宋体" w:cs="宋体"/>
          <w:color w:val="000000"/>
          <w:szCs w:val="21"/>
          <w:highlight w:val="none"/>
          <w:u w:val="single"/>
        </w:rPr>
        <w:t xml:space="preserve">    /    </w:t>
      </w:r>
      <w:r>
        <w:rPr>
          <w:rFonts w:hint="eastAsia" w:ascii="宋体" w:hAnsi="宋体" w:cs="宋体"/>
          <w:color w:val="000000"/>
          <w:szCs w:val="21"/>
          <w:highlight w:val="none"/>
        </w:rPr>
        <w:t>。</w:t>
      </w:r>
    </w:p>
    <w:p w14:paraId="72646AA3">
      <w:pPr>
        <w:pStyle w:val="288"/>
        <w:widowControl w:val="0"/>
        <w:numPr>
          <w:ilvl w:val="-1"/>
          <w:numId w:val="0"/>
        </w:numPr>
        <w:tabs>
          <w:tab w:val="left" w:pos="1140"/>
        </w:tabs>
        <w:spacing w:line="360" w:lineRule="auto"/>
        <w:ind w:left="420" w:firstLine="422" w:firstLineChars="200"/>
        <w:outlineLvl w:val="9"/>
        <w:rPr>
          <w:rFonts w:hint="eastAsia" w:ascii="宋体" w:hAnsi="宋体" w:cs="宋体"/>
          <w:b/>
          <w:bCs/>
          <w:color w:val="FF0000"/>
          <w:sz w:val="21"/>
          <w:szCs w:val="21"/>
          <w:highlight w:val="none"/>
        </w:rPr>
      </w:pPr>
      <w:r>
        <w:rPr>
          <w:rFonts w:hint="eastAsia" w:ascii="宋体" w:hAnsi="宋体" w:cs="宋体"/>
          <w:b/>
          <w:bCs/>
          <w:color w:val="FF0000"/>
          <w:sz w:val="21"/>
          <w:szCs w:val="21"/>
          <w:highlight w:val="none"/>
          <w:lang w:eastAsia="zh-CN"/>
        </w:rPr>
        <w:t>（三）</w:t>
      </w:r>
      <w:r>
        <w:rPr>
          <w:rFonts w:hint="eastAsia" w:ascii="宋体" w:hAnsi="宋体" w:cs="宋体"/>
          <w:b/>
          <w:bCs/>
          <w:color w:val="FF0000"/>
          <w:sz w:val="21"/>
          <w:szCs w:val="21"/>
          <w:highlight w:val="none"/>
        </w:rPr>
        <w:t>变更工程的计价原则</w:t>
      </w:r>
    </w:p>
    <w:p w14:paraId="59128B85">
      <w:pPr>
        <w:pStyle w:val="2"/>
        <w:tabs>
          <w:tab w:val="left" w:pos="562"/>
          <w:tab w:val="left" w:pos="3372"/>
          <w:tab w:val="left" w:pos="3653"/>
        </w:tabs>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变更工程费用的计价，应以招标人在招标文件中提供的招标控制单价为依据。分包合同综合单价中未包含或没有适用于变更工程细目的综合单价，则按招标人在招标文件中提供的招标控制单价编制方法编制变更工程综合单价，并结合本项目中标综合单价相对于招标人提供的招标控制单价的下浮比例进行下浮，并经招标人业主单位委托的第三方造价咨询单位审核后，且招标人业主单位同意后进行结算。</w:t>
      </w:r>
    </w:p>
    <w:p w14:paraId="2E7B3824">
      <w:pPr>
        <w:pStyle w:val="2"/>
        <w:tabs>
          <w:tab w:val="left" w:pos="562"/>
          <w:tab w:val="left" w:pos="3372"/>
          <w:tab w:val="left" w:pos="3653"/>
        </w:tabs>
        <w:spacing w:line="360" w:lineRule="auto"/>
        <w:ind w:firstLine="420" w:firstLineChars="200"/>
        <w:rPr>
          <w:rFonts w:hint="eastAsia"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eastAsia="zh-CN"/>
        </w:rPr>
        <w:t>（四）本项目总采购金额约为</w:t>
      </w:r>
      <w:r>
        <w:rPr>
          <w:rFonts w:hint="eastAsia" w:ascii="宋体" w:hAnsi="宋体" w:cs="宋体"/>
          <w:color w:val="000000"/>
          <w:sz w:val="21"/>
          <w:szCs w:val="21"/>
          <w:highlight w:val="none"/>
          <w:lang w:val="en-US" w:eastAsia="zh-CN"/>
        </w:rPr>
        <w:t>1500</w:t>
      </w:r>
      <w:r>
        <w:rPr>
          <w:rFonts w:hint="eastAsia" w:ascii="宋体" w:hAnsi="宋体" w:cs="宋体"/>
          <w:color w:val="000000"/>
          <w:sz w:val="21"/>
          <w:szCs w:val="21"/>
          <w:highlight w:val="none"/>
          <w:lang w:eastAsia="zh-CN"/>
        </w:rPr>
        <w:t>万元，供应方为</w:t>
      </w:r>
      <w:r>
        <w:rPr>
          <w:rFonts w:hint="eastAsia" w:ascii="宋体" w:hAnsi="宋体" w:cs="宋体"/>
          <w:color w:val="000000"/>
          <w:sz w:val="21"/>
          <w:szCs w:val="21"/>
          <w:highlight w:val="none"/>
          <w:lang w:val="en-US" w:eastAsia="zh-CN"/>
        </w:rPr>
        <w:t>两</w:t>
      </w:r>
      <w:r>
        <w:rPr>
          <w:rFonts w:hint="eastAsia" w:ascii="宋体" w:hAnsi="宋体" w:cs="宋体"/>
          <w:color w:val="000000"/>
          <w:sz w:val="21"/>
          <w:szCs w:val="21"/>
          <w:highlight w:val="none"/>
          <w:lang w:eastAsia="zh-CN"/>
        </w:rPr>
        <w:t>家，</w:t>
      </w:r>
      <w:r>
        <w:rPr>
          <w:rFonts w:hint="eastAsia" w:ascii="宋体" w:hAnsi="宋体" w:cs="宋体"/>
          <w:color w:val="FF0000"/>
          <w:sz w:val="21"/>
          <w:szCs w:val="21"/>
          <w:highlight w:val="none"/>
        </w:rPr>
        <w:t>甲方不保证</w:t>
      </w:r>
      <w:r>
        <w:rPr>
          <w:rFonts w:hint="eastAsia" w:ascii="宋体" w:hAnsi="宋体" w:cs="宋体"/>
          <w:color w:val="FF0000"/>
          <w:sz w:val="21"/>
          <w:szCs w:val="21"/>
          <w:highlight w:val="none"/>
          <w:lang w:eastAsia="zh-CN"/>
        </w:rPr>
        <w:t>每个供应</w:t>
      </w:r>
      <w:r>
        <w:rPr>
          <w:rFonts w:hint="eastAsia" w:ascii="宋体" w:hAnsi="宋体" w:cs="宋体"/>
          <w:color w:val="FF0000"/>
          <w:sz w:val="21"/>
          <w:szCs w:val="21"/>
          <w:highlight w:val="none"/>
        </w:rPr>
        <w:t>方能获得等量任务，且甲方有权根据日常生产需要增加供应商。</w:t>
      </w:r>
    </w:p>
    <w:p w14:paraId="48A5DB76">
      <w:pPr>
        <w:spacing w:line="360" w:lineRule="auto"/>
        <w:ind w:firstLine="422" w:firstLineChars="200"/>
        <w:rPr>
          <w:rFonts w:hint="eastAsia" w:ascii="宋体" w:hAnsi="宋体" w:cs="宋体"/>
          <w:b/>
          <w:color w:val="000000"/>
          <w:szCs w:val="21"/>
          <w:highlight w:val="none"/>
        </w:rPr>
      </w:pPr>
      <w:r>
        <w:rPr>
          <w:rFonts w:hint="eastAsia" w:ascii="宋体" w:hAnsi="宋体" w:cs="宋体"/>
          <w:b/>
          <w:color w:val="000000"/>
          <w:szCs w:val="21"/>
          <w:highlight w:val="none"/>
        </w:rPr>
        <w:t>第六条  工程预付款</w:t>
      </w:r>
    </w:p>
    <w:p w14:paraId="10538742">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本工程预付款采取以下第</w:t>
      </w:r>
      <w:r>
        <w:rPr>
          <w:rFonts w:hint="eastAsia" w:ascii="宋体" w:hAnsi="宋体" w:cs="宋体"/>
          <w:color w:val="000000"/>
          <w:szCs w:val="21"/>
          <w:highlight w:val="none"/>
          <w:u w:val="single"/>
        </w:rPr>
        <w:t>1</w:t>
      </w:r>
      <w:r>
        <w:rPr>
          <w:rFonts w:hint="eastAsia" w:ascii="宋体" w:hAnsi="宋体" w:cs="宋体"/>
          <w:color w:val="000000"/>
          <w:szCs w:val="21"/>
          <w:highlight w:val="none"/>
        </w:rPr>
        <w:t>种方式：</w:t>
      </w:r>
    </w:p>
    <w:p w14:paraId="26074602">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1.甲方无需向乙方支付预付款；</w:t>
      </w:r>
    </w:p>
    <w:p w14:paraId="13442822">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2.自本合同签订之日起</w:t>
      </w:r>
      <w:r>
        <w:rPr>
          <w:rFonts w:hint="eastAsia" w:ascii="宋体" w:hAnsi="宋体" w:cs="宋体"/>
          <w:color w:val="000000"/>
          <w:szCs w:val="21"/>
          <w:highlight w:val="none"/>
          <w:u w:val="single"/>
        </w:rPr>
        <w:t>/</w:t>
      </w:r>
      <w:r>
        <w:rPr>
          <w:rFonts w:hint="eastAsia" w:ascii="宋体" w:hAnsi="宋体" w:cs="宋体"/>
          <w:color w:val="000000"/>
          <w:szCs w:val="21"/>
          <w:highlight w:val="none"/>
        </w:rPr>
        <w:t>日内，甲方向乙方支付</w:t>
      </w:r>
      <w:r>
        <w:rPr>
          <w:rFonts w:hint="eastAsia" w:ascii="宋体" w:hAnsi="宋体" w:cs="宋体"/>
          <w:color w:val="000000"/>
          <w:szCs w:val="21"/>
          <w:highlight w:val="none"/>
          <w:u w:val="single"/>
        </w:rPr>
        <w:t xml:space="preserve">   /    </w:t>
      </w:r>
      <w:r>
        <w:rPr>
          <w:rFonts w:hint="eastAsia" w:ascii="宋体" w:hAnsi="宋体" w:cs="宋体"/>
          <w:color w:val="000000"/>
          <w:szCs w:val="21"/>
          <w:highlight w:val="none"/>
        </w:rPr>
        <w:t>工程预付款。</w:t>
      </w:r>
    </w:p>
    <w:p w14:paraId="02A78FA4">
      <w:pPr>
        <w:spacing w:line="360" w:lineRule="auto"/>
        <w:ind w:firstLine="422" w:firstLineChars="200"/>
        <w:rPr>
          <w:rFonts w:hint="eastAsia" w:ascii="宋体" w:hAnsi="宋体" w:cs="宋体"/>
          <w:b/>
          <w:color w:val="000000"/>
          <w:szCs w:val="21"/>
          <w:highlight w:val="none"/>
        </w:rPr>
      </w:pPr>
      <w:r>
        <w:rPr>
          <w:rFonts w:hint="eastAsia" w:ascii="宋体" w:hAnsi="宋体" w:cs="宋体"/>
          <w:b/>
          <w:color w:val="000000"/>
          <w:szCs w:val="21"/>
          <w:highlight w:val="none"/>
        </w:rPr>
        <w:t>第七条  进度款支付</w:t>
      </w:r>
    </w:p>
    <w:p w14:paraId="526B383F">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本分包项目采取以下第</w:t>
      </w:r>
      <w:r>
        <w:rPr>
          <w:rFonts w:hint="eastAsia" w:ascii="宋体" w:hAnsi="宋体" w:cs="宋体"/>
          <w:color w:val="000000"/>
          <w:szCs w:val="21"/>
          <w:highlight w:val="none"/>
          <w:u w:val="single"/>
        </w:rPr>
        <w:t></w:t>
      </w:r>
      <w:r>
        <w:rPr>
          <w:rFonts w:hint="eastAsia" w:ascii="宋体" w:hAnsi="宋体" w:cs="宋体"/>
          <w:color w:val="000000"/>
          <w:szCs w:val="21"/>
          <w:highlight w:val="none"/>
          <w:u w:val="single"/>
          <w:lang w:val="en-US" w:eastAsia="zh-CN"/>
        </w:rPr>
        <w:t>2</w:t>
      </w:r>
      <w:r>
        <w:rPr>
          <w:rFonts w:hint="eastAsia" w:ascii="宋体" w:hAnsi="宋体" w:cs="宋体"/>
          <w:color w:val="000000"/>
          <w:szCs w:val="21"/>
          <w:highlight w:val="none"/>
          <w:u w:val="single"/>
        </w:rPr>
        <w:t></w:t>
      </w:r>
      <w:r>
        <w:rPr>
          <w:rFonts w:hint="eastAsia" w:ascii="宋体" w:hAnsi="宋体" w:cs="宋体"/>
          <w:color w:val="000000"/>
          <w:szCs w:val="21"/>
          <w:highlight w:val="none"/>
        </w:rPr>
        <w:t>种进度款支付方式：</w:t>
      </w:r>
    </w:p>
    <w:p w14:paraId="34A55055">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1.本分包项目不采取按进度付款，在合同履行完毕，验收合格后，一次性付款；</w:t>
      </w:r>
    </w:p>
    <w:p w14:paraId="17C1B30A">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2.按进度付款，付款规则如下：</w:t>
      </w:r>
    </w:p>
    <w:p w14:paraId="4B875B2F">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lang w:val="en-US" w:eastAsia="zh-CN"/>
        </w:rPr>
        <w:t>1</w:t>
      </w:r>
      <w:r>
        <w:rPr>
          <w:rFonts w:hint="eastAsia" w:ascii="宋体" w:hAnsi="宋体" w:cs="宋体"/>
          <w:color w:val="000000"/>
          <w:sz w:val="21"/>
          <w:szCs w:val="21"/>
          <w:highlight w:val="none"/>
          <w:lang w:eastAsia="zh-CN"/>
        </w:rPr>
        <w:t>）甲方</w:t>
      </w:r>
      <w:r>
        <w:rPr>
          <w:rFonts w:hint="eastAsia" w:ascii="宋体" w:hAnsi="宋体" w:cs="宋体"/>
          <w:color w:val="000000"/>
          <w:sz w:val="21"/>
          <w:szCs w:val="21"/>
          <w:highlight w:val="none"/>
        </w:rPr>
        <w:t>按</w:t>
      </w:r>
      <w:r>
        <w:rPr>
          <w:rFonts w:hint="eastAsia" w:ascii="宋体" w:hAnsi="宋体" w:cs="宋体"/>
          <w:color w:val="000000"/>
          <w:sz w:val="21"/>
          <w:szCs w:val="21"/>
          <w:highlight w:val="none"/>
          <w:lang w:eastAsia="zh-CN"/>
        </w:rPr>
        <w:t>乙方</w:t>
      </w:r>
      <w:r>
        <w:rPr>
          <w:rFonts w:hint="eastAsia" w:ascii="宋体" w:hAnsi="宋体" w:cs="宋体"/>
          <w:color w:val="000000"/>
          <w:sz w:val="21"/>
          <w:szCs w:val="21"/>
          <w:highlight w:val="none"/>
        </w:rPr>
        <w:t>工程进度付款（建设单位工程款项到账不及时等情况除外），</w:t>
      </w:r>
      <w:r>
        <w:rPr>
          <w:rFonts w:hint="eastAsia" w:ascii="宋体" w:hAnsi="宋体" w:cs="宋体"/>
          <w:color w:val="000000"/>
          <w:sz w:val="21"/>
          <w:szCs w:val="21"/>
          <w:highlight w:val="none"/>
          <w:lang w:eastAsia="zh-CN"/>
        </w:rPr>
        <w:t>甲方</w:t>
      </w:r>
      <w:r>
        <w:rPr>
          <w:rFonts w:hint="eastAsia" w:ascii="宋体" w:hAnsi="宋体" w:cs="宋体"/>
          <w:color w:val="000000"/>
          <w:sz w:val="21"/>
          <w:szCs w:val="21"/>
          <w:highlight w:val="none"/>
        </w:rPr>
        <w:t>在</w:t>
      </w:r>
      <w:r>
        <w:rPr>
          <w:rFonts w:hint="eastAsia" w:ascii="宋体" w:hAnsi="宋体" w:cs="宋体"/>
          <w:color w:val="000000"/>
          <w:sz w:val="21"/>
          <w:szCs w:val="21"/>
          <w:highlight w:val="none"/>
          <w:lang w:eastAsia="zh-CN"/>
        </w:rPr>
        <w:t>乙方</w:t>
      </w:r>
      <w:r>
        <w:rPr>
          <w:rFonts w:hint="eastAsia" w:ascii="宋体" w:hAnsi="宋体" w:cs="宋体"/>
          <w:color w:val="000000"/>
          <w:sz w:val="21"/>
          <w:szCs w:val="21"/>
          <w:highlight w:val="none"/>
        </w:rPr>
        <w:t>自行</w:t>
      </w:r>
      <w:r>
        <w:rPr>
          <w:rFonts w:hint="eastAsia" w:ascii="宋体" w:hAnsi="宋体" w:cs="宋体"/>
          <w:color w:val="000000"/>
          <w:sz w:val="21"/>
          <w:szCs w:val="21"/>
          <w:highlight w:val="none"/>
          <w:lang w:eastAsia="zh-CN"/>
        </w:rPr>
        <w:t>缴纳</w:t>
      </w:r>
      <w:r>
        <w:rPr>
          <w:rFonts w:hint="eastAsia" w:ascii="宋体" w:hAnsi="宋体" w:cs="宋体"/>
          <w:color w:val="000000"/>
          <w:sz w:val="21"/>
          <w:szCs w:val="21"/>
          <w:highlight w:val="none"/>
        </w:rPr>
        <w:t>相应税金并取得增值税专用发票且核实</w:t>
      </w:r>
      <w:r>
        <w:rPr>
          <w:rFonts w:hint="eastAsia" w:ascii="宋体" w:hAnsi="宋体" w:cs="宋体"/>
          <w:color w:val="000000"/>
          <w:sz w:val="21"/>
          <w:szCs w:val="21"/>
          <w:highlight w:val="none"/>
          <w:lang w:eastAsia="zh-CN"/>
        </w:rPr>
        <w:t>乙方</w:t>
      </w:r>
      <w:r>
        <w:rPr>
          <w:rFonts w:hint="eastAsia" w:ascii="宋体" w:hAnsi="宋体" w:cs="宋体"/>
          <w:color w:val="000000"/>
          <w:sz w:val="21"/>
          <w:szCs w:val="21"/>
          <w:highlight w:val="none"/>
        </w:rPr>
        <w:t>上期劳务工工资发放情况符合宝安交通集团相关规定后支付工程款。</w:t>
      </w:r>
    </w:p>
    <w:p w14:paraId="7E6E7D1B">
      <w:pPr>
        <w:spacing w:line="360" w:lineRule="auto"/>
        <w:ind w:firstLine="420" w:firstLineChars="200"/>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招标人按中标人工程进度支付进度款（建设单位工程款项到账不及时等情况除外）：清单内项目按实际完成的工程量计量支付70%；清单外项目单价暂按养护系统申报单价结合招标人在招标文件中提供的招标控制单价编制方法及中标人下浮率下浮后计取，清单外项目按实际完成工程量计量支付50%。招标人在中标人自行交纳相应税金并取得增值税专用发票且核实中标人上期劳务工工资发放情况后支付工程款。</w:t>
      </w:r>
    </w:p>
    <w:p w14:paraId="1DC56BED">
      <w:pPr>
        <w:spacing w:line="360" w:lineRule="auto"/>
        <w:ind w:firstLine="420" w:firstLineChars="200"/>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本项目完工后，结算经招标人业主单位委托第三方咨询公司审核并经招标人业主单位确认后办理余款支付，招标人在收到中标人的结算支付资料后，经招标人审核及双方确认后支付至结算金额的97%至中标人，剩余3%作为质量保证金，待质保期满后按规定支付。中标人在取得招标人开具的履约合格证明的前提下，履约保证金待合同期满10个工作日内无息付清。</w:t>
      </w:r>
    </w:p>
    <w:p w14:paraId="2BD528D0">
      <w:pPr>
        <w:spacing w:line="360" w:lineRule="auto"/>
        <w:ind w:firstLine="420" w:firstLineChars="200"/>
        <w:rPr>
          <w:rFonts w:hint="eastAsia" w:ascii="宋体" w:hAnsi="宋体" w:eastAsia="宋体" w:cs="宋体"/>
          <w:color w:val="000000"/>
          <w:sz w:val="21"/>
          <w:szCs w:val="21"/>
          <w:highlight w:val="none"/>
          <w:lang w:eastAsia="zh-CN"/>
        </w:rPr>
      </w:pPr>
    </w:p>
    <w:p w14:paraId="30A04DE7">
      <w:pPr>
        <w:spacing w:line="360" w:lineRule="auto"/>
        <w:ind w:firstLine="422" w:firstLineChars="200"/>
        <w:rPr>
          <w:rFonts w:hint="eastAsia" w:ascii="宋体" w:hAnsi="宋体" w:cs="宋体"/>
          <w:b/>
          <w:szCs w:val="21"/>
          <w:highlight w:val="none"/>
        </w:rPr>
      </w:pPr>
      <w:r>
        <w:rPr>
          <w:rFonts w:hint="eastAsia" w:ascii="宋体" w:hAnsi="宋体" w:cs="宋体"/>
          <w:b/>
          <w:color w:val="000000"/>
          <w:sz w:val="21"/>
          <w:szCs w:val="21"/>
          <w:highlight w:val="none"/>
          <w:lang w:eastAsia="zh-CN"/>
        </w:rPr>
        <w:t>第八条</w:t>
      </w:r>
      <w:r>
        <w:rPr>
          <w:rFonts w:hint="eastAsia" w:ascii="宋体" w:hAnsi="宋体" w:cs="宋体"/>
          <w:b/>
          <w:color w:val="000000"/>
          <w:sz w:val="21"/>
          <w:szCs w:val="21"/>
          <w:highlight w:val="none"/>
          <w:lang w:val="en-US" w:eastAsia="zh-CN"/>
        </w:rPr>
        <w:t xml:space="preserve">  履约保证金</w:t>
      </w:r>
    </w:p>
    <w:p w14:paraId="05A33C86">
      <w:pPr>
        <w:numPr>
          <w:ilvl w:val="0"/>
          <w:numId w:val="14"/>
        </w:numPr>
        <w:spacing w:line="360" w:lineRule="auto"/>
        <w:ind w:firstLine="396" w:firstLineChars="200"/>
        <w:rPr>
          <w:rFonts w:hint="eastAsia" w:ascii="宋体" w:hAnsi="宋体" w:cs="宋体"/>
          <w:spacing w:val="-6"/>
          <w:sz w:val="21"/>
          <w:szCs w:val="21"/>
          <w:highlight w:val="none"/>
        </w:rPr>
      </w:pPr>
      <w:r>
        <w:rPr>
          <w:rFonts w:hint="eastAsia" w:ascii="宋体" w:hAnsi="宋体" w:cs="宋体"/>
          <w:spacing w:val="-6"/>
          <w:sz w:val="21"/>
          <w:szCs w:val="21"/>
          <w:highlight w:val="none"/>
        </w:rPr>
        <w:t>为了保证合同顺利履行，中标通知书发出后三个工作日内，乙方应向甲方提交履约保证金。双方选择第</w:t>
      </w:r>
      <w:r>
        <w:rPr>
          <w:rFonts w:hint="eastAsia" w:ascii="宋体" w:hAnsi="宋体" w:cs="宋体"/>
          <w:sz w:val="21"/>
          <w:szCs w:val="21"/>
          <w:highlight w:val="none"/>
          <w:u w:val="single"/>
          <w:lang w:val="en-US" w:eastAsia="zh-CN"/>
        </w:rPr>
        <w:t xml:space="preserve">  </w:t>
      </w:r>
      <w:r>
        <w:rPr>
          <w:rFonts w:hint="eastAsia" w:ascii="宋体" w:hAnsi="宋体" w:cs="宋体"/>
          <w:sz w:val="21"/>
          <w:szCs w:val="21"/>
          <w:highlight w:val="none"/>
          <w:u w:val="single"/>
        </w:rPr>
        <w:t xml:space="preserve"> </w:t>
      </w:r>
      <w:r>
        <w:rPr>
          <w:rFonts w:hint="eastAsia" w:ascii="宋体" w:hAnsi="宋体" w:cs="宋体"/>
          <w:spacing w:val="-6"/>
          <w:sz w:val="21"/>
          <w:szCs w:val="21"/>
          <w:highlight w:val="none"/>
        </w:rPr>
        <w:t>种方式提交履约保证金：</w:t>
      </w:r>
    </w:p>
    <w:p w14:paraId="3681703D">
      <w:pPr>
        <w:spacing w:line="360" w:lineRule="auto"/>
        <w:ind w:firstLine="396" w:firstLineChars="200"/>
        <w:rPr>
          <w:rFonts w:hint="eastAsia" w:ascii="宋体" w:hAnsi="宋体" w:cs="宋体"/>
          <w:spacing w:val="-6"/>
          <w:sz w:val="21"/>
          <w:szCs w:val="21"/>
          <w:highlight w:val="none"/>
        </w:rPr>
      </w:pPr>
      <w:r>
        <w:rPr>
          <w:rFonts w:hint="eastAsia" w:ascii="宋体" w:hAnsi="宋体" w:cs="宋体"/>
          <w:spacing w:val="-6"/>
          <w:sz w:val="21"/>
          <w:szCs w:val="21"/>
          <w:highlight w:val="none"/>
        </w:rPr>
        <w:t>（1）乙方向甲方提交银行履约保函</w:t>
      </w:r>
      <w:r>
        <w:rPr>
          <w:rFonts w:hint="eastAsia" w:ascii="宋体" w:hAnsi="宋体" w:cs="宋体"/>
          <w:spacing w:val="-6"/>
          <w:sz w:val="21"/>
          <w:szCs w:val="21"/>
          <w:highlight w:val="none"/>
          <w:lang w:eastAsia="zh-CN"/>
        </w:rPr>
        <w:t>，</w:t>
      </w:r>
      <w:r>
        <w:rPr>
          <w:rFonts w:hint="eastAsia" w:ascii="宋体" w:hAnsi="宋体" w:cs="宋体"/>
          <w:bCs w:val="0"/>
          <w:spacing w:val="-6"/>
          <w:sz w:val="21"/>
          <w:szCs w:val="21"/>
          <w:highlight w:val="none"/>
          <w:lang w:eastAsia="zh-CN"/>
        </w:rPr>
        <w:t>乙方</w:t>
      </w:r>
      <w:r>
        <w:rPr>
          <w:rFonts w:hint="eastAsia" w:ascii="宋体" w:hAnsi="宋体" w:cs="宋体"/>
          <w:bCs w:val="0"/>
          <w:spacing w:val="-6"/>
          <w:sz w:val="21"/>
          <w:szCs w:val="21"/>
          <w:highlight w:val="none"/>
        </w:rPr>
        <w:t>需提交银行保函原件</w:t>
      </w:r>
      <w:r>
        <w:rPr>
          <w:rFonts w:hint="eastAsia" w:ascii="宋体" w:hAnsi="宋体" w:cs="宋体"/>
          <w:bCs w:val="0"/>
          <w:spacing w:val="-6"/>
          <w:sz w:val="21"/>
          <w:szCs w:val="21"/>
          <w:highlight w:val="none"/>
          <w:lang w:eastAsia="zh-CN"/>
        </w:rPr>
        <w:t>；</w:t>
      </w:r>
    </w:p>
    <w:p w14:paraId="45323863">
      <w:pPr>
        <w:spacing w:line="360" w:lineRule="auto"/>
        <w:ind w:firstLine="396" w:firstLineChars="200"/>
        <w:rPr>
          <w:rFonts w:hint="eastAsia" w:ascii="宋体" w:hAnsi="宋体" w:eastAsia="宋体" w:cs="宋体"/>
          <w:spacing w:val="-6"/>
          <w:sz w:val="21"/>
          <w:szCs w:val="21"/>
          <w:highlight w:val="none"/>
          <w:lang w:val="en-US" w:eastAsia="zh-CN"/>
        </w:rPr>
      </w:pPr>
      <w:r>
        <w:rPr>
          <w:rFonts w:hint="eastAsia" w:ascii="宋体" w:hAnsi="宋体" w:cs="宋体"/>
          <w:spacing w:val="-6"/>
          <w:sz w:val="21"/>
          <w:szCs w:val="21"/>
          <w:highlight w:val="none"/>
        </w:rPr>
        <w:t>（2）乙方向甲方提交¥</w:t>
      </w:r>
      <w:r>
        <w:rPr>
          <w:rFonts w:hint="eastAsia" w:ascii="宋体" w:hAnsi="宋体" w:cs="宋体"/>
          <w:sz w:val="21"/>
          <w:szCs w:val="21"/>
          <w:highlight w:val="none"/>
          <w:u w:val="single"/>
        </w:rPr>
        <w:t xml:space="preserve"> </w:t>
      </w:r>
      <w:r>
        <w:rPr>
          <w:rFonts w:hint="eastAsia" w:ascii="宋体" w:hAnsi="宋体" w:cs="宋体"/>
          <w:szCs w:val="21"/>
          <w:highlight w:val="none"/>
          <w:u w:val="single"/>
          <w:lang w:val="en-US" w:eastAsia="zh-CN"/>
        </w:rPr>
        <w:t>100000</w:t>
      </w:r>
      <w:r>
        <w:rPr>
          <w:rFonts w:hint="eastAsia" w:ascii="宋体" w:hAnsi="宋体" w:cs="宋体"/>
          <w:spacing w:val="-6"/>
          <w:sz w:val="21"/>
          <w:szCs w:val="21"/>
          <w:highlight w:val="none"/>
        </w:rPr>
        <w:t>元，大写</w:t>
      </w:r>
      <w:r>
        <w:rPr>
          <w:rFonts w:hint="eastAsia" w:ascii="宋体" w:hAnsi="宋体" w:cs="宋体"/>
          <w:sz w:val="21"/>
          <w:szCs w:val="21"/>
          <w:highlight w:val="none"/>
          <w:u w:val="single"/>
        </w:rPr>
        <w:t xml:space="preserve"> 人民币</w:t>
      </w:r>
      <w:r>
        <w:rPr>
          <w:rFonts w:hint="eastAsia" w:ascii="宋体" w:hAnsi="宋体" w:cs="宋体"/>
          <w:sz w:val="21"/>
          <w:szCs w:val="21"/>
          <w:highlight w:val="none"/>
          <w:u w:val="single"/>
          <w:lang w:val="en-US" w:eastAsia="zh-CN"/>
        </w:rPr>
        <w:t>拾</w:t>
      </w:r>
      <w:r>
        <w:rPr>
          <w:rFonts w:hint="eastAsia" w:ascii="宋体" w:hAnsi="宋体" w:cs="宋体"/>
          <w:sz w:val="21"/>
          <w:szCs w:val="21"/>
          <w:highlight w:val="none"/>
          <w:u w:val="single"/>
        </w:rPr>
        <w:t xml:space="preserve">万元  </w:t>
      </w:r>
      <w:r>
        <w:rPr>
          <w:rFonts w:hint="eastAsia" w:ascii="宋体" w:hAnsi="宋体" w:cs="宋体"/>
          <w:spacing w:val="-6"/>
          <w:sz w:val="21"/>
          <w:szCs w:val="21"/>
          <w:highlight w:val="none"/>
        </w:rPr>
        <w:t>作为履约保证金。</w:t>
      </w:r>
      <w:r>
        <w:rPr>
          <w:rFonts w:hint="eastAsia" w:ascii="宋体" w:hAnsi="宋体" w:cs="宋体"/>
          <w:bCs/>
          <w:sz w:val="21"/>
          <w:szCs w:val="21"/>
          <w:highlight w:val="none"/>
        </w:rPr>
        <w:t>采购人开具收据</w:t>
      </w:r>
      <w:r>
        <w:rPr>
          <w:rFonts w:hint="eastAsia" w:ascii="宋体" w:hAnsi="宋体" w:cs="宋体"/>
          <w:bCs/>
          <w:sz w:val="21"/>
          <w:szCs w:val="21"/>
          <w:highlight w:val="none"/>
          <w:lang w:val="en-US" w:eastAsia="zh-CN"/>
        </w:rPr>
        <w:t>。</w:t>
      </w:r>
    </w:p>
    <w:p w14:paraId="1DA4EA69">
      <w:pPr>
        <w:spacing w:line="360" w:lineRule="auto"/>
        <w:ind w:firstLine="396" w:firstLineChars="200"/>
        <w:rPr>
          <w:rFonts w:hint="eastAsia" w:ascii="宋体" w:hAnsi="宋体" w:cs="宋体"/>
          <w:spacing w:val="-6"/>
          <w:sz w:val="21"/>
          <w:szCs w:val="21"/>
          <w:highlight w:val="none"/>
        </w:rPr>
      </w:pPr>
      <w:r>
        <w:rPr>
          <w:rFonts w:hint="eastAsia" w:ascii="宋体" w:hAnsi="宋体" w:cs="宋体"/>
          <w:spacing w:val="-6"/>
          <w:sz w:val="21"/>
          <w:szCs w:val="21"/>
          <w:highlight w:val="none"/>
        </w:rPr>
        <w:t>2. 甲方账号：</w:t>
      </w:r>
      <w:r>
        <w:rPr>
          <w:rFonts w:hint="eastAsia" w:ascii="宋体" w:hAnsi="宋体" w:cs="宋体"/>
          <w:sz w:val="21"/>
          <w:szCs w:val="21"/>
          <w:highlight w:val="none"/>
          <w:u w:val="single"/>
        </w:rPr>
        <w:t xml:space="preserve"> </w:t>
      </w:r>
      <w:r>
        <w:rPr>
          <w:rFonts w:hint="eastAsia" w:ascii="宋体" w:hAnsi="宋体" w:cs="宋体"/>
          <w:sz w:val="21"/>
          <w:szCs w:val="21"/>
          <w:highlight w:val="none"/>
          <w:u w:val="single"/>
          <w:lang w:val="en-US" w:eastAsia="zh-CN"/>
        </w:rPr>
        <w:t xml:space="preserve">    </w:t>
      </w:r>
      <w:r>
        <w:rPr>
          <w:rFonts w:hint="eastAsia" w:ascii="宋体" w:hAnsi="宋体" w:cs="宋体"/>
          <w:sz w:val="21"/>
          <w:szCs w:val="21"/>
          <w:highlight w:val="none"/>
          <w:u w:val="single"/>
        </w:rPr>
        <w:t xml:space="preserve">  </w:t>
      </w:r>
      <w:r>
        <w:rPr>
          <w:rFonts w:hint="eastAsia" w:ascii="宋体" w:hAnsi="宋体" w:cs="宋体"/>
          <w:spacing w:val="-6"/>
          <w:sz w:val="21"/>
          <w:szCs w:val="21"/>
          <w:highlight w:val="none"/>
        </w:rPr>
        <w:t>；开户名：</w:t>
      </w:r>
      <w:r>
        <w:rPr>
          <w:rFonts w:hint="eastAsia" w:ascii="宋体" w:hAnsi="宋体" w:cs="宋体"/>
          <w:sz w:val="21"/>
          <w:szCs w:val="21"/>
          <w:highlight w:val="none"/>
          <w:u w:val="single"/>
        </w:rPr>
        <w:t xml:space="preserve"> </w:t>
      </w:r>
      <w:r>
        <w:rPr>
          <w:rFonts w:hint="eastAsia" w:ascii="宋体" w:hAnsi="宋体" w:cs="宋体"/>
          <w:sz w:val="21"/>
          <w:szCs w:val="21"/>
          <w:highlight w:val="none"/>
          <w:u w:val="single"/>
          <w:lang w:val="en-US" w:eastAsia="zh-CN"/>
        </w:rPr>
        <w:t xml:space="preserve">        </w:t>
      </w:r>
      <w:r>
        <w:rPr>
          <w:rFonts w:hint="eastAsia" w:ascii="宋体" w:hAnsi="宋体" w:cs="宋体"/>
          <w:sz w:val="21"/>
          <w:szCs w:val="21"/>
          <w:highlight w:val="none"/>
          <w:u w:val="single"/>
        </w:rPr>
        <w:t xml:space="preserve"> </w:t>
      </w:r>
      <w:r>
        <w:rPr>
          <w:rFonts w:hint="eastAsia" w:ascii="宋体" w:hAnsi="宋体" w:cs="宋体"/>
          <w:sz w:val="21"/>
          <w:szCs w:val="21"/>
          <w:highlight w:val="none"/>
        </w:rPr>
        <w:t>；</w:t>
      </w:r>
      <w:r>
        <w:rPr>
          <w:rFonts w:hint="eastAsia" w:ascii="宋体" w:hAnsi="宋体" w:cs="宋体"/>
          <w:spacing w:val="-6"/>
          <w:sz w:val="21"/>
          <w:szCs w:val="21"/>
          <w:highlight w:val="none"/>
        </w:rPr>
        <w:t>开户行：</w:t>
      </w:r>
      <w:r>
        <w:rPr>
          <w:rFonts w:hint="eastAsia" w:ascii="宋体" w:hAnsi="宋体" w:cs="宋体"/>
          <w:sz w:val="21"/>
          <w:szCs w:val="21"/>
          <w:highlight w:val="none"/>
          <w:u w:val="single"/>
        </w:rPr>
        <w:t xml:space="preserve"> </w:t>
      </w:r>
      <w:r>
        <w:rPr>
          <w:rFonts w:hint="eastAsia" w:ascii="宋体" w:hAnsi="宋体" w:cs="宋体"/>
          <w:sz w:val="21"/>
          <w:szCs w:val="21"/>
          <w:highlight w:val="none"/>
          <w:u w:val="single"/>
          <w:lang w:val="en-US" w:eastAsia="zh-CN"/>
        </w:rPr>
        <w:t xml:space="preserve">         </w:t>
      </w:r>
      <w:r>
        <w:rPr>
          <w:rFonts w:hint="eastAsia" w:ascii="宋体" w:hAnsi="宋体" w:cs="宋体"/>
          <w:sz w:val="21"/>
          <w:szCs w:val="21"/>
          <w:highlight w:val="none"/>
          <w:u w:val="none"/>
        </w:rPr>
        <w:t>。</w:t>
      </w:r>
    </w:p>
    <w:p w14:paraId="6ABBFE61">
      <w:pPr>
        <w:spacing w:line="360" w:lineRule="auto"/>
        <w:ind w:firstLine="420" w:firstLineChars="200"/>
        <w:rPr>
          <w:rFonts w:hint="eastAsia" w:ascii="宋体" w:hAnsi="宋体" w:cs="宋体"/>
          <w:b/>
          <w:szCs w:val="21"/>
          <w:highlight w:val="none"/>
        </w:rPr>
      </w:pPr>
      <w:r>
        <w:rPr>
          <w:rFonts w:ascii="宋体" w:hAnsi="宋体" w:cs="宋体"/>
          <w:sz w:val="21"/>
          <w:szCs w:val="21"/>
          <w:highlight w:val="none"/>
        </w:rPr>
        <w:t>3.</w:t>
      </w:r>
      <w:r>
        <w:rPr>
          <w:rFonts w:hint="eastAsia" w:ascii="宋体" w:hAnsi="宋体" w:cs="宋体"/>
          <w:sz w:val="21"/>
          <w:szCs w:val="21"/>
          <w:highlight w:val="none"/>
        </w:rPr>
        <w:t xml:space="preserve"> 乙方在取得甲方开具的履约合格证明的前提下，合同期满后10个工作日内，甲方不计利息一次性退还履约保证金给乙方。</w:t>
      </w:r>
      <w:r>
        <w:rPr>
          <w:rFonts w:hint="eastAsia" w:ascii="宋体" w:hAnsi="宋体" w:cs="宋体"/>
          <w:sz w:val="21"/>
          <w:szCs w:val="21"/>
          <w:highlight w:val="none"/>
          <w:u w:val="single"/>
        </w:rPr>
        <w:t>乙方合同期间如出现无法履约或严重违约行为，严重影响甲方利益，甲方有权</w:t>
      </w:r>
      <w:r>
        <w:rPr>
          <w:rFonts w:hint="eastAsia" w:ascii="宋体" w:hAnsi="宋体" w:cs="宋体"/>
          <w:sz w:val="21"/>
          <w:szCs w:val="21"/>
          <w:highlight w:val="none"/>
          <w:u w:val="single"/>
          <w:lang w:eastAsia="zh-CN"/>
        </w:rPr>
        <w:t>中</w:t>
      </w:r>
      <w:r>
        <w:rPr>
          <w:rFonts w:hint="eastAsia" w:ascii="宋体" w:hAnsi="宋体" w:cs="宋体"/>
          <w:sz w:val="21"/>
          <w:szCs w:val="21"/>
          <w:highlight w:val="none"/>
          <w:u w:val="single"/>
        </w:rPr>
        <w:t>止合同，并没收全部履约保证金或将履约保证金用于该项目后续工作及质量缺陷修复。</w:t>
      </w:r>
    </w:p>
    <w:p w14:paraId="560F116F">
      <w:pPr>
        <w:spacing w:line="360" w:lineRule="auto"/>
        <w:ind w:firstLine="422" w:firstLineChars="200"/>
        <w:rPr>
          <w:rFonts w:hint="eastAsia" w:ascii="宋体" w:hAnsi="宋体" w:cs="宋体"/>
          <w:b/>
          <w:color w:val="000000"/>
          <w:szCs w:val="21"/>
          <w:highlight w:val="none"/>
        </w:rPr>
      </w:pPr>
      <w:r>
        <w:rPr>
          <w:rFonts w:hint="eastAsia" w:ascii="宋体" w:hAnsi="宋体" w:cs="宋体"/>
          <w:b/>
          <w:color w:val="000000"/>
          <w:szCs w:val="21"/>
          <w:highlight w:val="none"/>
        </w:rPr>
        <w:t>第</w:t>
      </w:r>
      <w:r>
        <w:rPr>
          <w:rFonts w:hint="eastAsia" w:ascii="宋体" w:hAnsi="宋体" w:cs="宋体"/>
          <w:b/>
          <w:color w:val="000000"/>
          <w:szCs w:val="21"/>
          <w:highlight w:val="none"/>
          <w:lang w:eastAsia="zh-CN"/>
        </w:rPr>
        <w:t>九</w:t>
      </w:r>
      <w:r>
        <w:rPr>
          <w:rFonts w:hint="eastAsia" w:ascii="宋体" w:hAnsi="宋体" w:cs="宋体"/>
          <w:b/>
          <w:color w:val="000000"/>
          <w:szCs w:val="21"/>
          <w:highlight w:val="none"/>
        </w:rPr>
        <w:t>条  甲方的权利与义务</w:t>
      </w:r>
    </w:p>
    <w:p w14:paraId="2CBA3814">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（一）对乙方进行技术和安全交底。</w:t>
      </w:r>
    </w:p>
    <w:p w14:paraId="5F102207">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（二）甲方应向乙方提供完成分包任务所需要的相应资料。</w:t>
      </w:r>
    </w:p>
    <w:p w14:paraId="6C847814">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（三）按本合同约定向乙方支付相关款项。</w:t>
      </w:r>
    </w:p>
    <w:p w14:paraId="78DE2E2B">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（四）监督检查乙方的质量、安全、进度，对问题提出整改要求，并视情节严重给予处罚。</w:t>
      </w:r>
    </w:p>
    <w:p w14:paraId="276EF600">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（五）负责工程的整体进度及各分包单位的进度协调，负责有关工程会议，协调及协同各单位施工中出现的矛盾。</w:t>
      </w:r>
    </w:p>
    <w:p w14:paraId="09267F2C">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（六）随时检查乙方施工设备的运行、材料使用情况，检查乙方现场管理人员和操作人员的有效证件及持证上岗情况。当乙方违反规定或工作达不到所要求的标准时，要求乙方进行整改、返修。</w:t>
      </w:r>
    </w:p>
    <w:p w14:paraId="19ABCBA3">
      <w:pPr>
        <w:spacing w:line="360" w:lineRule="auto"/>
        <w:ind w:firstLine="422" w:firstLineChars="200"/>
        <w:rPr>
          <w:rFonts w:hint="eastAsia" w:ascii="宋体" w:hAnsi="宋体" w:cs="宋体"/>
          <w:b/>
          <w:color w:val="000000"/>
          <w:szCs w:val="21"/>
          <w:highlight w:val="none"/>
        </w:rPr>
      </w:pPr>
      <w:r>
        <w:rPr>
          <w:rFonts w:hint="eastAsia" w:ascii="宋体" w:hAnsi="宋体" w:cs="宋体"/>
          <w:b/>
          <w:color w:val="000000"/>
          <w:szCs w:val="21"/>
          <w:highlight w:val="none"/>
        </w:rPr>
        <w:t>第</w:t>
      </w:r>
      <w:r>
        <w:rPr>
          <w:rFonts w:hint="eastAsia" w:ascii="宋体" w:hAnsi="宋体" w:cs="宋体"/>
          <w:b/>
          <w:color w:val="000000"/>
          <w:szCs w:val="21"/>
          <w:highlight w:val="none"/>
          <w:lang w:eastAsia="zh-CN"/>
        </w:rPr>
        <w:t>十</w:t>
      </w:r>
      <w:r>
        <w:rPr>
          <w:rFonts w:hint="eastAsia" w:ascii="宋体" w:hAnsi="宋体" w:cs="宋体"/>
          <w:b/>
          <w:color w:val="000000"/>
          <w:szCs w:val="21"/>
          <w:highlight w:val="none"/>
        </w:rPr>
        <w:t>条  乙方的权利与义务</w:t>
      </w:r>
    </w:p>
    <w:p w14:paraId="2AA8D16A">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（一）乙方坚持自检、互检、交接检制度，为检验提供便利条件，随时接受甲方以及各级质检部门的检查、检验，并按要求返工、修改，承担由自身原因导致的返工、修改费用。</w:t>
      </w:r>
    </w:p>
    <w:p w14:paraId="4F2B5BA1">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二）乙方对甲方提供的技术要求、质量标准和工作指令具有复核的责任和义务，因乙方原因造成工程质量缺陷或未达到上述约定的质量等级，由此造成的损失，甲方有权要求乙方承担或者甲方先行承担后向乙方追偿或者直接在乙方的劳务报酬中予以抵扣。</w:t>
      </w:r>
    </w:p>
    <w:p w14:paraId="28C57211">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（三）乙方施工人员进入施工现场，必须服从甲方的安全、生产管理，统一管理和指挥，遵守各项规章制度，杜绝违章施工。</w:t>
      </w:r>
    </w:p>
    <w:p w14:paraId="722E94D9">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（四）严格执行甲方的技术交底，按交底和设计要求进行施工。</w:t>
      </w:r>
    </w:p>
    <w:p w14:paraId="3829B622">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（五）严格遵守甲方</w:t>
      </w:r>
      <w:r>
        <w:rPr>
          <w:rFonts w:hint="eastAsia" w:ascii="宋体" w:hAnsi="宋体" w:cs="宋体"/>
          <w:color w:val="000000"/>
          <w:szCs w:val="21"/>
          <w:highlight w:val="none"/>
          <w:lang w:eastAsia="zh-CN"/>
        </w:rPr>
        <w:t>工</w:t>
      </w:r>
      <w:r>
        <w:rPr>
          <w:rFonts w:hint="eastAsia" w:ascii="宋体" w:hAnsi="宋体" w:cs="宋体"/>
          <w:color w:val="000000"/>
          <w:szCs w:val="21"/>
          <w:highlight w:val="none"/>
        </w:rPr>
        <w:t>地的各项管理制度，接受甲方对工期、质量、安全、文明施工等方面的合理处罚。</w:t>
      </w:r>
    </w:p>
    <w:p w14:paraId="6268064A">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（六）积极、严格按照监理公司、甲方提出的整改要求和通知（书面或口头通知）进行整改，不得消极拖延。</w:t>
      </w:r>
    </w:p>
    <w:p w14:paraId="3DBBAFC7">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（七）乙方必须执行本合同</w:t>
      </w:r>
      <w:r>
        <w:rPr>
          <w:rFonts w:hint="eastAsia" w:ascii="宋体" w:hAnsi="宋体" w:cs="宋体"/>
          <w:b/>
          <w:color w:val="000000"/>
          <w:szCs w:val="21"/>
          <w:highlight w:val="none"/>
        </w:rPr>
        <w:t>第十</w:t>
      </w:r>
      <w:r>
        <w:rPr>
          <w:rFonts w:hint="eastAsia" w:ascii="宋体" w:hAnsi="宋体" w:cs="宋体"/>
          <w:b/>
          <w:color w:val="000000"/>
          <w:szCs w:val="21"/>
          <w:highlight w:val="none"/>
          <w:lang w:eastAsia="zh-CN"/>
        </w:rPr>
        <w:t>一</w:t>
      </w:r>
      <w:r>
        <w:rPr>
          <w:rFonts w:hint="eastAsia" w:ascii="宋体" w:hAnsi="宋体" w:cs="宋体"/>
          <w:b/>
          <w:color w:val="000000"/>
          <w:szCs w:val="21"/>
          <w:highlight w:val="none"/>
        </w:rPr>
        <w:t>条</w:t>
      </w:r>
      <w:r>
        <w:rPr>
          <w:rFonts w:hint="eastAsia" w:ascii="宋体" w:hAnsi="宋体" w:cs="宋体"/>
          <w:color w:val="000000"/>
          <w:szCs w:val="21"/>
          <w:highlight w:val="none"/>
        </w:rPr>
        <w:t>安全文明施工要求。</w:t>
      </w:r>
    </w:p>
    <w:p w14:paraId="2901BBCC">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八）乙方应严格配合甲方施工组织设计和进度安排制定施工计划，并积极配合其他工程的施工。分包工程施工影响其他工程正常施工的，乙方应立即通知甲方，积极协商调整施工，由此产生的额外费用，由乙方承担。</w:t>
      </w:r>
    </w:p>
    <w:p w14:paraId="4EE507CD">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（九）乙方自行负责分包工程范围的人员安排、材料采购、机械设备等分包工程所需的所有相关内容，并同时遵守本合同</w:t>
      </w:r>
      <w:r>
        <w:rPr>
          <w:rFonts w:hint="eastAsia" w:ascii="宋体" w:hAnsi="宋体" w:cs="宋体"/>
          <w:b/>
          <w:color w:val="000000"/>
          <w:szCs w:val="21"/>
          <w:highlight w:val="none"/>
        </w:rPr>
        <w:t>第十</w:t>
      </w:r>
      <w:r>
        <w:rPr>
          <w:rFonts w:hint="eastAsia" w:ascii="宋体" w:hAnsi="宋体" w:cs="宋体"/>
          <w:b/>
          <w:color w:val="000000"/>
          <w:szCs w:val="21"/>
          <w:highlight w:val="none"/>
          <w:lang w:eastAsia="zh-CN"/>
        </w:rPr>
        <w:t>二</w:t>
      </w:r>
      <w:r>
        <w:rPr>
          <w:rFonts w:hint="eastAsia" w:ascii="宋体" w:hAnsi="宋体" w:cs="宋体"/>
          <w:b/>
          <w:color w:val="000000"/>
          <w:szCs w:val="21"/>
          <w:highlight w:val="none"/>
        </w:rPr>
        <w:t>条</w:t>
      </w:r>
      <w:r>
        <w:rPr>
          <w:rFonts w:hint="eastAsia" w:ascii="宋体" w:hAnsi="宋体" w:cs="宋体"/>
          <w:color w:val="000000"/>
          <w:szCs w:val="21"/>
          <w:highlight w:val="none"/>
        </w:rPr>
        <w:t>规定。</w:t>
      </w:r>
    </w:p>
    <w:p w14:paraId="265BC9D2">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（十）乙方在施工现场不得发生赌博、酗酒、打架斗殴现象。</w:t>
      </w:r>
    </w:p>
    <w:p w14:paraId="73626392">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十一）确保工作面及施工现场整洁，做到日清。工程完工后，清运所做工程项目的周转材料、自用工具、机械和设备。交工前做好半成品、成品保护工作，并负责修复造成的损坏。参与交工验收，负责交工验收时提出的缺陷，并进行无偿的维修，直至达到交工验收合格为止。</w:t>
      </w:r>
    </w:p>
    <w:p w14:paraId="1CB59E28">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（十二）在办理完工验收手续前，分包人应负责照管和维护工程，并在保修期内承担维修义务。</w:t>
      </w:r>
    </w:p>
    <w:p w14:paraId="6E68CBCB">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（十三）工程试验检测业务联系、跟进及费用由乙方负责。</w:t>
      </w:r>
    </w:p>
    <w:p w14:paraId="3DCE4247">
      <w:pPr>
        <w:spacing w:line="360" w:lineRule="auto"/>
        <w:ind w:firstLine="422" w:firstLineChars="200"/>
        <w:rPr>
          <w:rFonts w:hint="eastAsia" w:ascii="宋体" w:hAnsi="宋体" w:cs="宋体"/>
          <w:b/>
          <w:color w:val="000000"/>
          <w:szCs w:val="21"/>
          <w:highlight w:val="none"/>
        </w:rPr>
      </w:pPr>
      <w:r>
        <w:rPr>
          <w:rFonts w:hint="eastAsia" w:ascii="宋体" w:hAnsi="宋体" w:cs="宋体"/>
          <w:b/>
          <w:color w:val="000000"/>
          <w:szCs w:val="21"/>
          <w:highlight w:val="none"/>
        </w:rPr>
        <w:t>第十</w:t>
      </w:r>
      <w:r>
        <w:rPr>
          <w:rFonts w:hint="eastAsia" w:ascii="宋体" w:hAnsi="宋体" w:cs="宋体"/>
          <w:b/>
          <w:color w:val="000000"/>
          <w:szCs w:val="21"/>
          <w:highlight w:val="none"/>
          <w:lang w:eastAsia="zh-CN"/>
        </w:rPr>
        <w:t>一</w:t>
      </w:r>
      <w:r>
        <w:rPr>
          <w:rFonts w:hint="eastAsia" w:ascii="宋体" w:hAnsi="宋体" w:cs="宋体"/>
          <w:b/>
          <w:color w:val="000000"/>
          <w:szCs w:val="21"/>
          <w:highlight w:val="none"/>
        </w:rPr>
        <w:t>条  安全文明施工</w:t>
      </w:r>
    </w:p>
    <w:p w14:paraId="4894E8CD">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（一）乙方应定期进行安全检查，采取必要的安全防护措施（如工人必须佩戴安全帽，在高处作业时必须正确使用安全带），消除事故隐患。由于非甲方原因造成安全事故，责任和由此发生的费用由乙方承担。</w:t>
      </w:r>
    </w:p>
    <w:p w14:paraId="39A55320">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（二）乙方需对其在施工场地的工作人员进行安全教育，并对他们的安全负责，同时为其办理必要的保险手续。</w:t>
      </w:r>
    </w:p>
    <w:p w14:paraId="14A4377B">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（三）乙方须确保工地现场治安状况良好，不会对正常施工造成破坏影响。</w:t>
      </w:r>
    </w:p>
    <w:p w14:paraId="54AEC56A">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（四）乙方在动力设备、输电线路、地下管道以及临近正在施工建筑区附近施工时，施工前须做足安全措施后实施。</w:t>
      </w:r>
    </w:p>
    <w:p w14:paraId="2C5B6E14">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（五）乙方全体现场施工人员须统一管理，佩戴工作牌。</w:t>
      </w:r>
    </w:p>
    <w:p w14:paraId="260862DA">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（六）施工期间，所有机械、工具、建筑材料等须堆放整齐，并保持道路通畅，及时清除余土及建筑垃圾，做到工完场清。</w:t>
      </w:r>
    </w:p>
    <w:p w14:paraId="5501F743">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（七）乙方安全文明施工达不到要求的，甲方可视其情况处以罚款。</w:t>
      </w:r>
    </w:p>
    <w:p w14:paraId="66C1571C">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（八）乙方应遵守工程建设安全生产有关管理规定，严格按照安全标准组织施工，承担由于自身安全措施不力造成事故的责任和因此发生的费用。</w:t>
      </w:r>
    </w:p>
    <w:p w14:paraId="3CE8333C">
      <w:pPr>
        <w:spacing w:line="360" w:lineRule="auto"/>
        <w:ind w:firstLine="422" w:firstLineChars="200"/>
        <w:rPr>
          <w:rFonts w:hint="eastAsia" w:ascii="宋体" w:hAnsi="宋体" w:cs="宋体"/>
          <w:b/>
          <w:color w:val="000000"/>
          <w:szCs w:val="21"/>
          <w:highlight w:val="none"/>
        </w:rPr>
      </w:pPr>
      <w:r>
        <w:rPr>
          <w:rFonts w:hint="eastAsia" w:ascii="宋体" w:hAnsi="宋体" w:cs="宋体"/>
          <w:b/>
          <w:color w:val="000000"/>
          <w:szCs w:val="21"/>
          <w:highlight w:val="none"/>
        </w:rPr>
        <w:t>第十</w:t>
      </w:r>
      <w:r>
        <w:rPr>
          <w:rFonts w:hint="eastAsia" w:ascii="宋体" w:hAnsi="宋体" w:cs="宋体"/>
          <w:b/>
          <w:color w:val="000000"/>
          <w:szCs w:val="21"/>
          <w:highlight w:val="none"/>
          <w:lang w:eastAsia="zh-CN"/>
        </w:rPr>
        <w:t>二</w:t>
      </w:r>
      <w:r>
        <w:rPr>
          <w:rFonts w:hint="eastAsia" w:ascii="宋体" w:hAnsi="宋体" w:cs="宋体"/>
          <w:b/>
          <w:color w:val="000000"/>
          <w:szCs w:val="21"/>
          <w:highlight w:val="none"/>
        </w:rPr>
        <w:t>条  乙方工、料、机要求</w:t>
      </w:r>
    </w:p>
    <w:p w14:paraId="2BDAEA98">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（一）人员安排要求</w:t>
      </w:r>
    </w:p>
    <w:p w14:paraId="4E7211EB">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乙方人员进场7日内必须向甲方报送进场人员花名册进行备案，提交身份证复印件一张，并保证进场工人无违法犯罪人员。未向甲方报送花名册、身份证的人员，不得允许其进场，甲方不承认其在甲方的工作关系。特殊工种人员需培训合格取得上岗操作证后方可进场，并应在进场后24小时内将进场人员个人信息报甲方备案。否则，甲方可要求乙方相关人员退场，并追究乙方违约责任。</w:t>
      </w:r>
    </w:p>
    <w:p w14:paraId="065AD405">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（二）材料采购要求</w:t>
      </w:r>
    </w:p>
    <w:p w14:paraId="06929846">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分包工程所需的材料由乙方自行采购，材料进场前，乙方需提交材料产品合格证、质量保证书、检验报告，经甲方检查，确认符合设计要求，并得到甲方签字认可后，方可进场。甲方签字确认的材料验收结果仅证明乙方提交的货物数量、外观截止至验收时可以按合同要求予以接受，此确认不作为对材料隐蔽瑕疵认定的依据。</w:t>
      </w:r>
    </w:p>
    <w:p w14:paraId="5F390238">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2.乙方负责材料堆放场地选择及临时库房的搭建，保证堆放材料的安全和质量，并配备专人看守。</w:t>
      </w:r>
    </w:p>
    <w:p w14:paraId="0AA3F5AC">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（3）工程设备</w:t>
      </w:r>
    </w:p>
    <w:p w14:paraId="1987E119">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乙方在施工现场投入的工程设备等，应向甲方提交相关合格、质量证书，确保符合相应安全标准，不得使用存在安全隐患的工程设备。甲方对工程设备进行检验，并不免除乙方因使用工程设备所造成的损害赔偿责任。</w:t>
      </w:r>
    </w:p>
    <w:p w14:paraId="57F70766">
      <w:pPr>
        <w:pStyle w:val="24"/>
        <w:spacing w:line="360" w:lineRule="auto"/>
        <w:ind w:left="0" w:leftChars="0" w:firstLine="0" w:firstLineChars="0"/>
        <w:rPr>
          <w:rFonts w:hint="eastAsia" w:hAnsi="宋体" w:cs="宋体"/>
          <w:b/>
          <w:color w:val="000000"/>
          <w:sz w:val="21"/>
          <w:szCs w:val="21"/>
          <w:highlight w:val="none"/>
        </w:rPr>
      </w:pPr>
      <w:r>
        <w:rPr>
          <w:rFonts w:hint="eastAsia" w:hAnsi="宋体" w:cs="宋体"/>
          <w:b/>
          <w:color w:val="000000"/>
          <w:sz w:val="21"/>
          <w:szCs w:val="21"/>
          <w:highlight w:val="none"/>
        </w:rPr>
        <w:t>第十</w:t>
      </w:r>
      <w:r>
        <w:rPr>
          <w:rFonts w:hint="eastAsia" w:hAnsi="宋体" w:cs="宋体"/>
          <w:b/>
          <w:color w:val="000000"/>
          <w:sz w:val="21"/>
          <w:szCs w:val="21"/>
          <w:highlight w:val="none"/>
          <w:lang w:eastAsia="zh-CN"/>
        </w:rPr>
        <w:t>三</w:t>
      </w:r>
      <w:r>
        <w:rPr>
          <w:rFonts w:hint="eastAsia" w:hAnsi="宋体" w:cs="宋体"/>
          <w:b/>
          <w:color w:val="000000"/>
          <w:sz w:val="21"/>
          <w:szCs w:val="21"/>
          <w:highlight w:val="none"/>
        </w:rPr>
        <w:t>条  完工验收</w:t>
      </w:r>
    </w:p>
    <w:p w14:paraId="0CE7E862">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（一）验收条件</w:t>
      </w:r>
    </w:p>
    <w:p w14:paraId="24866F70">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分包工程完工后，符合以下条件</w:t>
      </w:r>
      <w:r>
        <w:rPr>
          <w:rFonts w:hint="eastAsia" w:ascii="宋体" w:hAnsi="宋体" w:cs="宋体"/>
          <w:color w:val="000000"/>
          <w:szCs w:val="21"/>
          <w:highlight w:val="none"/>
          <w:lang w:val="en-US" w:eastAsia="zh-CN"/>
        </w:rPr>
        <w:t xml:space="preserve"> </w:t>
      </w:r>
      <w:r>
        <w:rPr>
          <w:rFonts w:hint="eastAsia" w:ascii="宋体" w:hAnsi="宋体" w:cs="宋体"/>
          <w:color w:val="000000"/>
          <w:szCs w:val="21"/>
          <w:highlight w:val="none"/>
          <w:u w:val="single"/>
          <w:lang w:val="en-US" w:eastAsia="zh-CN"/>
        </w:rPr>
        <w:t xml:space="preserve">1 </w:t>
      </w:r>
      <w:r>
        <w:rPr>
          <w:rFonts w:hint="eastAsia" w:ascii="宋体" w:hAnsi="宋体" w:cs="宋体"/>
          <w:color w:val="000000"/>
          <w:szCs w:val="21"/>
          <w:highlight w:val="none"/>
        </w:rPr>
        <w:t>的，乙方可以向甲方提交完工验收申请：</w:t>
      </w:r>
    </w:p>
    <w:p w14:paraId="122F4B2B">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1.分包范围内的全部工程内容均施工完毕，已完成试验、检验等工作，且符合分包合同要求；</w:t>
      </w:r>
    </w:p>
    <w:p w14:paraId="03CF2189">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2.其他：</w:t>
      </w:r>
      <w:r>
        <w:rPr>
          <w:rFonts w:hint="eastAsia" w:ascii="宋体" w:hAnsi="宋体" w:cs="宋体"/>
          <w:color w:val="000000"/>
          <w:szCs w:val="21"/>
          <w:highlight w:val="none"/>
          <w:u w:val="single"/>
        </w:rPr>
        <w:t xml:space="preserve">   </w:t>
      </w:r>
      <w:r>
        <w:rPr>
          <w:rFonts w:hint="eastAsia" w:ascii="宋体" w:hAnsi="宋体" w:cs="宋体"/>
          <w:color w:val="000000"/>
          <w:szCs w:val="21"/>
          <w:highlight w:val="none"/>
          <w:u w:val="single"/>
          <w:lang w:eastAsia="zh-CN"/>
        </w:rPr>
        <w:t>/</w:t>
      </w:r>
      <w:r>
        <w:rPr>
          <w:rFonts w:hint="eastAsia" w:ascii="宋体" w:hAnsi="宋体" w:cs="宋体"/>
          <w:color w:val="000000"/>
          <w:szCs w:val="21"/>
          <w:highlight w:val="none"/>
          <w:u w:val="single"/>
        </w:rPr>
        <w:t xml:space="preserve">   </w:t>
      </w:r>
      <w:r>
        <w:rPr>
          <w:rFonts w:hint="eastAsia" w:ascii="宋体" w:hAnsi="宋体" w:cs="宋体"/>
          <w:color w:val="000000"/>
          <w:szCs w:val="21"/>
          <w:highlight w:val="none"/>
        </w:rPr>
        <w:t>。</w:t>
      </w:r>
    </w:p>
    <w:p w14:paraId="54B82C2E">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（二）验收程序</w:t>
      </w:r>
    </w:p>
    <w:p w14:paraId="2AE51CDC">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乙方申请完工验收的，应当按照以下程序进行：</w:t>
      </w:r>
    </w:p>
    <w:p w14:paraId="48108D39">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乙方向甲方报送完工验收申请，甲方在收到申请后及时审查，甲方审查后认为不具备验收条件的，有权通知分包人还需完成的工作内容，分包人应在完成承包人通知的全部工作内容后，再次提交完工验收申请报告。</w:t>
      </w:r>
    </w:p>
    <w:p w14:paraId="40CA267D">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2.甲方审查后认为已具备完工验收条件的，应在收到完工验收申请报告后及时按工程验收要求组织监理、业主方等相关单位进行完工验收。</w:t>
      </w:r>
    </w:p>
    <w:p w14:paraId="7D78D5FA">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3.验收不合格的，甲方按照验收意见发出指示，要求乙方对不合格工程返工、修复或采取其他补救措施，由此增加的费用和（或）延误的工期由乙方承担。乙方完成不合格工程的返工、修复或采取其他补救措施后，应重新提交完工验收申请，并按本款约定的程序重新进行验收。</w:t>
      </w:r>
    </w:p>
    <w:p w14:paraId="344836C4">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4. 双方对工程质量有异议的，由工程质量监督部门裁决。裁决费用及因此造成的损失，由责任方承担。</w:t>
      </w:r>
    </w:p>
    <w:p w14:paraId="0D12C914">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5.甲方与业主间的隐蔽工程验收结果或工程竣工验收结果表明专业分包人施工质量不合格时，专业分包人应负责无偿修复，不延长工期，并承担由此导致的工程承包人的相关损失。</w:t>
      </w:r>
    </w:p>
    <w:p w14:paraId="4D203D24">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6.整体工程经业主方验收合格（含本专业分包）的，乙方在本合同质量保修期内承担免费质量保修责任。</w:t>
      </w:r>
    </w:p>
    <w:p w14:paraId="2149F17B">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7.其他：</w:t>
      </w:r>
      <w:r>
        <w:rPr>
          <w:rFonts w:hint="eastAsia" w:ascii="宋体" w:hAnsi="宋体" w:cs="宋体"/>
          <w:color w:val="000000"/>
          <w:szCs w:val="21"/>
          <w:highlight w:val="none"/>
          <w:u w:val="single"/>
        </w:rPr>
        <w:t xml:space="preserve">   </w:t>
      </w:r>
      <w:r>
        <w:rPr>
          <w:rFonts w:hint="eastAsia" w:ascii="宋体" w:hAnsi="宋体" w:cs="宋体"/>
          <w:color w:val="000000"/>
          <w:szCs w:val="21"/>
          <w:highlight w:val="none"/>
          <w:u w:val="single"/>
          <w:lang w:eastAsia="zh-CN"/>
        </w:rPr>
        <w:t>/</w:t>
      </w:r>
      <w:r>
        <w:rPr>
          <w:rFonts w:hint="eastAsia" w:ascii="宋体" w:hAnsi="宋体" w:cs="宋体"/>
          <w:color w:val="000000"/>
          <w:szCs w:val="21"/>
          <w:highlight w:val="none"/>
          <w:u w:val="single"/>
        </w:rPr>
        <w:t xml:space="preserve">  </w:t>
      </w:r>
      <w:r>
        <w:rPr>
          <w:rFonts w:hint="eastAsia" w:ascii="宋体" w:hAnsi="宋体" w:cs="宋体"/>
          <w:color w:val="000000"/>
          <w:szCs w:val="21"/>
          <w:highlight w:val="none"/>
        </w:rPr>
        <w:t>。</w:t>
      </w:r>
    </w:p>
    <w:p w14:paraId="74CB59DF">
      <w:pPr>
        <w:spacing w:line="360" w:lineRule="auto"/>
        <w:ind w:firstLine="422" w:firstLineChars="200"/>
        <w:rPr>
          <w:rFonts w:hint="eastAsia" w:ascii="宋体" w:hAnsi="宋体" w:cs="宋体"/>
          <w:b/>
          <w:color w:val="000000"/>
          <w:szCs w:val="21"/>
          <w:highlight w:val="none"/>
        </w:rPr>
      </w:pPr>
      <w:r>
        <w:rPr>
          <w:rFonts w:hint="eastAsia" w:ascii="宋体" w:hAnsi="宋体" w:cs="宋体"/>
          <w:b/>
          <w:color w:val="000000"/>
          <w:szCs w:val="21"/>
          <w:highlight w:val="none"/>
        </w:rPr>
        <w:t>第十</w:t>
      </w:r>
      <w:r>
        <w:rPr>
          <w:rFonts w:hint="eastAsia" w:ascii="宋体" w:hAnsi="宋体" w:cs="宋体"/>
          <w:b/>
          <w:color w:val="000000"/>
          <w:szCs w:val="21"/>
          <w:highlight w:val="none"/>
          <w:lang w:eastAsia="zh-CN"/>
        </w:rPr>
        <w:t>四</w:t>
      </w:r>
      <w:r>
        <w:rPr>
          <w:rFonts w:hint="eastAsia" w:ascii="宋体" w:hAnsi="宋体" w:cs="宋体"/>
          <w:b/>
          <w:color w:val="000000"/>
          <w:szCs w:val="21"/>
          <w:highlight w:val="none"/>
        </w:rPr>
        <w:t>条  分包工程移交</w:t>
      </w:r>
    </w:p>
    <w:p w14:paraId="103B91DF">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经验收合格的分包工程，甲乙双方应办理书面移交手续，乙方应向甲方移交全部工程资料。工程资料包括但不限于以下内容：</w:t>
      </w:r>
    </w:p>
    <w:p w14:paraId="71E9C9CD">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w:t>
      </w:r>
      <w:r>
        <w:rPr>
          <w:rFonts w:hint="eastAsia" w:ascii="宋体" w:hAnsi="宋体" w:cs="宋体"/>
          <w:color w:val="000000"/>
          <w:szCs w:val="21"/>
          <w:highlight w:val="none"/>
          <w:u w:val="single"/>
        </w:rPr>
        <w:t xml:space="preserve">    材料产品合格证     </w:t>
      </w:r>
      <w:r>
        <w:rPr>
          <w:rFonts w:hint="eastAsia" w:ascii="宋体" w:hAnsi="宋体" w:cs="宋体"/>
          <w:color w:val="000000"/>
          <w:szCs w:val="21"/>
          <w:highlight w:val="none"/>
        </w:rPr>
        <w:t>。</w:t>
      </w:r>
    </w:p>
    <w:p w14:paraId="3060EE4D">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w:t>
      </w:r>
      <w:r>
        <w:rPr>
          <w:rFonts w:hint="eastAsia" w:ascii="宋体" w:hAnsi="宋体" w:cs="宋体"/>
          <w:color w:val="000000"/>
          <w:szCs w:val="21"/>
          <w:highlight w:val="none"/>
          <w:u w:val="single"/>
        </w:rPr>
        <w:t xml:space="preserve">    材料质量保证书     </w:t>
      </w:r>
      <w:r>
        <w:rPr>
          <w:rFonts w:hint="eastAsia" w:ascii="宋体" w:hAnsi="宋体" w:cs="宋体"/>
          <w:color w:val="000000"/>
          <w:szCs w:val="21"/>
          <w:highlight w:val="none"/>
        </w:rPr>
        <w:t>。</w:t>
      </w:r>
    </w:p>
    <w:p w14:paraId="4FCA7703">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3：</w:t>
      </w:r>
      <w:r>
        <w:rPr>
          <w:rFonts w:hint="eastAsia" w:ascii="宋体" w:hAnsi="宋体" w:cs="宋体"/>
          <w:color w:val="000000"/>
          <w:szCs w:val="21"/>
          <w:highlight w:val="none"/>
          <w:u w:val="single"/>
        </w:rPr>
        <w:t xml:space="preserve">    材料检验报告       </w:t>
      </w:r>
      <w:r>
        <w:rPr>
          <w:rFonts w:hint="eastAsia" w:ascii="宋体" w:hAnsi="宋体" w:cs="宋体"/>
          <w:color w:val="000000"/>
          <w:szCs w:val="21"/>
          <w:highlight w:val="none"/>
        </w:rPr>
        <w:t>。</w:t>
      </w:r>
    </w:p>
    <w:p w14:paraId="00F397B9">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4：</w:t>
      </w:r>
      <w:r>
        <w:rPr>
          <w:rFonts w:hint="eastAsia" w:ascii="宋体" w:hAnsi="宋体" w:cs="宋体"/>
          <w:color w:val="000000"/>
          <w:szCs w:val="21"/>
          <w:highlight w:val="none"/>
          <w:u w:val="single"/>
        </w:rPr>
        <w:t xml:space="preserve">         /             </w:t>
      </w:r>
      <w:r>
        <w:rPr>
          <w:rFonts w:hint="eastAsia" w:ascii="宋体" w:hAnsi="宋体" w:cs="宋体"/>
          <w:color w:val="000000"/>
          <w:szCs w:val="21"/>
          <w:highlight w:val="none"/>
        </w:rPr>
        <w:t>。</w:t>
      </w:r>
    </w:p>
    <w:p w14:paraId="149B5BEA">
      <w:pPr>
        <w:spacing w:line="360" w:lineRule="auto"/>
        <w:ind w:firstLine="422" w:firstLineChars="200"/>
        <w:rPr>
          <w:rFonts w:hint="eastAsia" w:ascii="宋体" w:hAnsi="宋体" w:cs="宋体"/>
          <w:b/>
          <w:color w:val="000000"/>
          <w:szCs w:val="21"/>
          <w:highlight w:val="none"/>
        </w:rPr>
      </w:pPr>
      <w:r>
        <w:rPr>
          <w:rFonts w:hint="eastAsia" w:ascii="宋体" w:hAnsi="宋体" w:cs="宋体"/>
          <w:b/>
          <w:color w:val="000000"/>
          <w:szCs w:val="21"/>
          <w:highlight w:val="none"/>
        </w:rPr>
        <w:t>第十</w:t>
      </w:r>
      <w:r>
        <w:rPr>
          <w:rFonts w:hint="eastAsia" w:ascii="宋体" w:hAnsi="宋体" w:cs="宋体"/>
          <w:b/>
          <w:color w:val="000000"/>
          <w:szCs w:val="21"/>
          <w:highlight w:val="none"/>
          <w:lang w:eastAsia="zh-CN"/>
        </w:rPr>
        <w:t>五</w:t>
      </w:r>
      <w:r>
        <w:rPr>
          <w:rFonts w:hint="eastAsia" w:ascii="宋体" w:hAnsi="宋体" w:cs="宋体"/>
          <w:b/>
          <w:color w:val="000000"/>
          <w:szCs w:val="21"/>
          <w:highlight w:val="none"/>
        </w:rPr>
        <w:t>条  结算</w:t>
      </w:r>
    </w:p>
    <w:p w14:paraId="49702B96">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验收合格，乙方向甲方申请结算的，应按甲方要求提交相关资料。甲方收到结算申请资料后，及时进行核实，给予确认或者提出修改意见。甲方确认结算资料后，双方按以下第</w:t>
      </w:r>
      <w:r>
        <w:rPr>
          <w:rFonts w:hint="eastAsia" w:ascii="宋体" w:hAnsi="宋体" w:cs="宋体"/>
          <w:color w:val="000000"/>
          <w:szCs w:val="21"/>
          <w:highlight w:val="none"/>
          <w:lang w:eastAsia="zh-CN"/>
        </w:rPr>
        <w:t>（三）</w:t>
      </w:r>
      <w:r>
        <w:rPr>
          <w:rFonts w:hint="eastAsia" w:ascii="宋体" w:hAnsi="宋体" w:cs="宋体"/>
          <w:color w:val="000000"/>
          <w:szCs w:val="21"/>
          <w:highlight w:val="none"/>
        </w:rPr>
        <w:t xml:space="preserve">种方式结算： </w:t>
      </w:r>
    </w:p>
    <w:p w14:paraId="03965E24">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（一）采取单价合同形式的，结算金额=固定单价*结算数量。</w:t>
      </w:r>
    </w:p>
    <w:p w14:paraId="3123C73A">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结算数量：按甲方、监理工程师签认的实际完成数量签认结算单作为结算依据。最终结算数量以建设单位最终确认的结算数量为准。</w:t>
      </w:r>
    </w:p>
    <w:p w14:paraId="343B6FAF">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固定单价：即本合同第五条合同价格。</w:t>
      </w:r>
    </w:p>
    <w:p w14:paraId="4D0B3065">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（二）采取总价合同形式的，剩余结算款=合同总价±价格调差-甲方已支付的各类款项</w:t>
      </w:r>
    </w:p>
    <w:p w14:paraId="29BD4BF9">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（三）其他结算方式</w:t>
      </w:r>
      <w:r>
        <w:rPr>
          <w:rFonts w:hint="eastAsia" w:ascii="宋体" w:hAnsi="宋体" w:cs="宋体"/>
          <w:color w:val="000000"/>
          <w:szCs w:val="21"/>
          <w:highlight w:val="none"/>
          <w:lang w:eastAsia="zh-CN"/>
        </w:rPr>
        <w:t>，</w:t>
      </w:r>
      <w:r>
        <w:rPr>
          <w:rFonts w:hint="eastAsia" w:ascii="宋体" w:hAnsi="宋体" w:cs="宋体"/>
          <w:color w:val="000000"/>
          <w:szCs w:val="21"/>
          <w:highlight w:val="none"/>
        </w:rPr>
        <w:t>具体规则</w:t>
      </w:r>
      <w:r>
        <w:rPr>
          <w:rFonts w:hint="eastAsia" w:ascii="宋体" w:hAnsi="宋体" w:cs="宋体"/>
          <w:color w:val="000000"/>
          <w:szCs w:val="21"/>
          <w:highlight w:val="none"/>
          <w:lang w:eastAsia="zh-CN"/>
        </w:rPr>
        <w:t>如下</w:t>
      </w:r>
      <w:r>
        <w:rPr>
          <w:rFonts w:hint="eastAsia" w:ascii="宋体" w:hAnsi="宋体" w:cs="宋体"/>
          <w:color w:val="000000"/>
          <w:szCs w:val="21"/>
          <w:highlight w:val="none"/>
        </w:rPr>
        <w:t>：</w:t>
      </w:r>
    </w:p>
    <w:p w14:paraId="79911AB3">
      <w:pPr>
        <w:spacing w:line="360" w:lineRule="auto"/>
        <w:ind w:firstLine="420" w:firstLineChars="200"/>
        <w:rPr>
          <w:rFonts w:hint="eastAsia" w:ascii="宋体" w:hAnsi="宋体" w:cs="宋体"/>
          <w:color w:val="FF0000"/>
          <w:sz w:val="21"/>
          <w:szCs w:val="21"/>
          <w:highlight w:val="none"/>
        </w:rPr>
      </w:pPr>
      <w:r>
        <w:rPr>
          <w:rFonts w:hint="eastAsia" w:ascii="宋体" w:hAnsi="宋体" w:cs="宋体"/>
          <w:color w:val="FF0000"/>
          <w:sz w:val="21"/>
          <w:szCs w:val="21"/>
          <w:highlight w:val="none"/>
        </w:rPr>
        <w:t>1.结算数量：</w:t>
      </w:r>
    </w:p>
    <w:p w14:paraId="1C92C143">
      <w:pPr>
        <w:spacing w:line="360" w:lineRule="auto"/>
        <w:ind w:firstLine="420" w:firstLineChars="200"/>
        <w:rPr>
          <w:rFonts w:hint="eastAsia" w:ascii="宋体" w:hAnsi="宋体" w:cs="宋体"/>
          <w:color w:val="FF0000"/>
          <w:sz w:val="21"/>
          <w:szCs w:val="21"/>
          <w:highlight w:val="none"/>
        </w:rPr>
      </w:pPr>
      <w:r>
        <w:rPr>
          <w:rFonts w:hint="eastAsia" w:ascii="宋体" w:hAnsi="宋体" w:cs="宋体"/>
          <w:color w:val="FF0000"/>
          <w:sz w:val="21"/>
          <w:szCs w:val="21"/>
          <w:highlight w:val="none"/>
        </w:rPr>
        <w:t>保养项目以经</w:t>
      </w:r>
      <w:r>
        <w:rPr>
          <w:rFonts w:hint="eastAsia" w:ascii="宋体" w:hAnsi="宋体" w:cs="宋体"/>
          <w:color w:val="FF0000"/>
          <w:sz w:val="21"/>
          <w:szCs w:val="21"/>
          <w:highlight w:val="none"/>
          <w:lang w:eastAsia="zh-CN"/>
        </w:rPr>
        <w:t>甲方</w:t>
      </w:r>
      <w:r>
        <w:rPr>
          <w:rFonts w:hint="eastAsia" w:ascii="宋体" w:hAnsi="宋体" w:cs="宋体"/>
          <w:color w:val="FF0000"/>
          <w:sz w:val="21"/>
          <w:szCs w:val="21"/>
          <w:highlight w:val="none"/>
        </w:rPr>
        <w:t>与</w:t>
      </w:r>
      <w:r>
        <w:rPr>
          <w:rFonts w:hint="eastAsia" w:ascii="宋体" w:hAnsi="宋体" w:cs="宋体"/>
          <w:color w:val="FF0000"/>
          <w:sz w:val="21"/>
          <w:szCs w:val="21"/>
          <w:highlight w:val="none"/>
          <w:lang w:eastAsia="zh-CN"/>
        </w:rPr>
        <w:t>乙方</w:t>
      </w:r>
      <w:r>
        <w:rPr>
          <w:rFonts w:hint="eastAsia" w:ascii="宋体" w:hAnsi="宋体" w:cs="宋体"/>
          <w:color w:val="FF0000"/>
          <w:sz w:val="21"/>
          <w:szCs w:val="21"/>
          <w:highlight w:val="none"/>
        </w:rPr>
        <w:t>双方确认的工程数量为结算数量；</w:t>
      </w:r>
    </w:p>
    <w:p w14:paraId="61E405E6">
      <w:pPr>
        <w:spacing w:line="360" w:lineRule="auto"/>
        <w:ind w:firstLine="420" w:firstLineChars="200"/>
        <w:rPr>
          <w:rFonts w:hint="eastAsia" w:ascii="宋体" w:hAnsi="宋体" w:cs="宋体"/>
          <w:color w:val="FF0000"/>
          <w:sz w:val="21"/>
          <w:szCs w:val="21"/>
          <w:highlight w:val="none"/>
        </w:rPr>
      </w:pPr>
      <w:r>
        <w:rPr>
          <w:rFonts w:hint="eastAsia" w:ascii="宋体" w:hAnsi="宋体" w:cs="宋体"/>
          <w:color w:val="FF0000"/>
          <w:sz w:val="21"/>
          <w:szCs w:val="21"/>
          <w:highlight w:val="none"/>
        </w:rPr>
        <w:t>抢修及小修项目由</w:t>
      </w:r>
      <w:r>
        <w:rPr>
          <w:rFonts w:hint="eastAsia" w:ascii="宋体" w:hAnsi="宋体" w:cs="宋体"/>
          <w:color w:val="FF0000"/>
          <w:sz w:val="21"/>
          <w:szCs w:val="21"/>
          <w:highlight w:val="none"/>
          <w:lang w:eastAsia="zh-CN"/>
        </w:rPr>
        <w:t>乙方</w:t>
      </w:r>
      <w:r>
        <w:rPr>
          <w:rFonts w:hint="eastAsia" w:ascii="宋体" w:hAnsi="宋体" w:cs="宋体"/>
          <w:color w:val="FF0000"/>
          <w:sz w:val="21"/>
          <w:szCs w:val="21"/>
          <w:highlight w:val="none"/>
        </w:rPr>
        <w:t>对具体项目进行组价并上报智慧管养平台（https://zhgy.gcnao.cn），以智慧管养平台完成验收，履约及督查考核合格，并经采购人业主单位委托的第三方咨询单位审核的工程数量为结算数量。</w:t>
      </w:r>
    </w:p>
    <w:p w14:paraId="6B64E447">
      <w:pPr>
        <w:spacing w:line="360" w:lineRule="auto"/>
        <w:ind w:firstLine="420" w:firstLineChars="200"/>
        <w:rPr>
          <w:rFonts w:hint="eastAsia" w:ascii="宋体" w:hAnsi="宋体" w:cs="宋体"/>
          <w:color w:val="FF0000"/>
          <w:sz w:val="21"/>
          <w:szCs w:val="21"/>
          <w:highlight w:val="none"/>
        </w:rPr>
      </w:pPr>
      <w:r>
        <w:rPr>
          <w:rFonts w:hint="eastAsia" w:ascii="宋体" w:hAnsi="宋体" w:cs="宋体"/>
          <w:color w:val="FF0000"/>
          <w:sz w:val="21"/>
          <w:szCs w:val="21"/>
          <w:highlight w:val="none"/>
        </w:rPr>
        <w:t>2.合同单价=</w:t>
      </w:r>
      <w:r>
        <w:rPr>
          <w:rFonts w:hint="eastAsia" w:ascii="宋体" w:hAnsi="宋体" w:cs="宋体"/>
          <w:color w:val="FF0000"/>
          <w:sz w:val="21"/>
          <w:szCs w:val="21"/>
          <w:highlight w:val="none"/>
          <w:lang w:eastAsia="zh-CN"/>
        </w:rPr>
        <w:t>招标控制价</w:t>
      </w:r>
      <w:r>
        <w:rPr>
          <w:rFonts w:hint="eastAsia" w:ascii="宋体" w:hAnsi="宋体" w:cs="宋体"/>
          <w:color w:val="FF0000"/>
          <w:sz w:val="21"/>
          <w:szCs w:val="21"/>
          <w:highlight w:val="none"/>
        </w:rPr>
        <w:t>×中标价×（1+</w:t>
      </w:r>
      <w:r>
        <w:rPr>
          <w:rFonts w:hint="eastAsia" w:ascii="宋体" w:hAnsi="宋体" w:cs="宋体"/>
          <w:color w:val="FF0000"/>
          <w:sz w:val="21"/>
          <w:szCs w:val="21"/>
          <w:highlight w:val="none"/>
          <w:lang w:eastAsia="zh-CN"/>
        </w:rPr>
        <w:t>乙方</w:t>
      </w:r>
      <w:r>
        <w:rPr>
          <w:rFonts w:hint="eastAsia" w:ascii="宋体" w:hAnsi="宋体" w:cs="宋体"/>
          <w:color w:val="FF0000"/>
          <w:sz w:val="21"/>
          <w:szCs w:val="21"/>
          <w:highlight w:val="none"/>
        </w:rPr>
        <w:t>增值税率）。</w:t>
      </w:r>
    </w:p>
    <w:p w14:paraId="5EC33EA6">
      <w:pPr>
        <w:spacing w:line="360" w:lineRule="auto"/>
        <w:ind w:firstLine="420" w:firstLineChars="200"/>
        <w:rPr>
          <w:rFonts w:hint="eastAsia" w:ascii="宋体" w:hAnsi="宋体" w:cs="宋体"/>
          <w:color w:val="FF0000"/>
          <w:sz w:val="21"/>
          <w:szCs w:val="21"/>
          <w:highlight w:val="none"/>
        </w:rPr>
      </w:pPr>
      <w:r>
        <w:rPr>
          <w:rFonts w:hint="eastAsia" w:ascii="宋体" w:hAnsi="宋体" w:cs="宋体"/>
          <w:color w:val="FF0000"/>
          <w:sz w:val="21"/>
          <w:szCs w:val="21"/>
          <w:highlight w:val="none"/>
        </w:rPr>
        <w:t>3.结算总价=结算数量×合同单价。</w:t>
      </w:r>
    </w:p>
    <w:p w14:paraId="08DDB4AA">
      <w:pPr>
        <w:spacing w:line="360" w:lineRule="auto"/>
        <w:ind w:firstLine="420" w:firstLineChars="200"/>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特别提醒：中标人均应向采购人提供正规足额增值税专用发票，由采购人按照财政集中支付程序或业主单位支付程序办理支付手续并在拨款到位后支付，采购人在约定期限内向财政部门或业主单位提交支付申请，即视为按时支付；中标人同时因遵守采购人的相关结算制度并提供由双方确认的相关结算材料。因中标人原因或财政集中支付程序、业主单位财政程序导致付款延迟的，采购人不承担任何责任，中标人应继续履行合同义务。</w:t>
      </w:r>
    </w:p>
    <w:p w14:paraId="27F09248">
      <w:pPr>
        <w:pStyle w:val="43"/>
        <w:rPr>
          <w:rFonts w:hint="eastAsia"/>
          <w:highlight w:val="none"/>
        </w:rPr>
      </w:pPr>
    </w:p>
    <w:p w14:paraId="3DDD46AE">
      <w:pPr>
        <w:spacing w:line="360" w:lineRule="auto"/>
        <w:ind w:firstLine="422" w:firstLineChars="200"/>
        <w:rPr>
          <w:rFonts w:hint="eastAsia" w:ascii="宋体" w:hAnsi="宋体" w:cs="宋体"/>
          <w:b/>
          <w:color w:val="000000"/>
          <w:szCs w:val="21"/>
          <w:highlight w:val="none"/>
        </w:rPr>
      </w:pPr>
      <w:r>
        <w:rPr>
          <w:rFonts w:hint="eastAsia" w:ascii="宋体" w:hAnsi="宋体" w:cs="宋体"/>
          <w:b/>
          <w:color w:val="000000"/>
          <w:szCs w:val="21"/>
          <w:highlight w:val="none"/>
        </w:rPr>
        <w:t>第十</w:t>
      </w:r>
      <w:r>
        <w:rPr>
          <w:rFonts w:hint="eastAsia" w:ascii="宋体" w:hAnsi="宋体" w:cs="宋体"/>
          <w:b/>
          <w:color w:val="000000"/>
          <w:szCs w:val="21"/>
          <w:highlight w:val="none"/>
          <w:lang w:eastAsia="zh-CN"/>
        </w:rPr>
        <w:t>六</w:t>
      </w:r>
      <w:r>
        <w:rPr>
          <w:rFonts w:hint="eastAsia" w:ascii="宋体" w:hAnsi="宋体" w:cs="宋体"/>
          <w:b/>
          <w:color w:val="000000"/>
          <w:szCs w:val="21"/>
          <w:highlight w:val="none"/>
        </w:rPr>
        <w:t>条  保修期</w:t>
      </w:r>
    </w:p>
    <w:p w14:paraId="1017E816">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保修期为分包工程完工之日起</w:t>
      </w:r>
      <w:r>
        <w:rPr>
          <w:rFonts w:hint="eastAsia" w:ascii="宋体" w:hAnsi="宋体" w:cs="宋体"/>
          <w:color w:val="000000"/>
          <w:szCs w:val="21"/>
          <w:highlight w:val="none"/>
          <w:u w:val="single"/>
        </w:rPr>
        <w:t xml:space="preserve">  </w:t>
      </w:r>
      <w:r>
        <w:rPr>
          <w:rFonts w:hint="eastAsia" w:ascii="宋体" w:hAnsi="宋体" w:cs="宋体"/>
          <w:color w:val="000000"/>
          <w:szCs w:val="21"/>
          <w:highlight w:val="none"/>
          <w:u w:val="single"/>
          <w:lang w:val="en-US" w:eastAsia="zh-CN"/>
        </w:rPr>
        <w:t>12</w:t>
      </w:r>
      <w:r>
        <w:rPr>
          <w:rFonts w:hint="eastAsia" w:ascii="宋体" w:hAnsi="宋体" w:cs="宋体"/>
          <w:color w:val="000000"/>
          <w:szCs w:val="21"/>
          <w:highlight w:val="none"/>
          <w:u w:val="single"/>
        </w:rPr>
        <w:t xml:space="preserve">  </w:t>
      </w:r>
      <w:r>
        <w:rPr>
          <w:rFonts w:hint="eastAsia" w:ascii="宋体" w:hAnsi="宋体" w:cs="宋体"/>
          <w:color w:val="000000"/>
          <w:szCs w:val="21"/>
          <w:highlight w:val="none"/>
        </w:rPr>
        <w:t>个月。本约定短于法定保修年限，以法定保修期为准。</w:t>
      </w:r>
    </w:p>
    <w:p w14:paraId="0C98AFCD">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保修期内，非因甲方原因造成分包工程损害的，乙方均应承担保修义务和损失赔偿责任。</w:t>
      </w:r>
    </w:p>
    <w:p w14:paraId="70E9349A">
      <w:pPr>
        <w:spacing w:line="360" w:lineRule="auto"/>
        <w:ind w:firstLine="422" w:firstLineChars="200"/>
        <w:rPr>
          <w:rFonts w:hint="eastAsia" w:ascii="宋体" w:hAnsi="宋体" w:cs="宋体"/>
          <w:b/>
          <w:color w:val="000000"/>
          <w:szCs w:val="21"/>
          <w:highlight w:val="none"/>
        </w:rPr>
      </w:pPr>
      <w:r>
        <w:rPr>
          <w:rFonts w:hint="eastAsia" w:ascii="宋体" w:hAnsi="宋体" w:cs="宋体"/>
          <w:b/>
          <w:color w:val="000000"/>
          <w:szCs w:val="21"/>
          <w:highlight w:val="none"/>
        </w:rPr>
        <w:t>第十</w:t>
      </w:r>
      <w:r>
        <w:rPr>
          <w:rFonts w:hint="eastAsia" w:ascii="宋体" w:hAnsi="宋体" w:cs="宋体"/>
          <w:b/>
          <w:color w:val="000000"/>
          <w:szCs w:val="21"/>
          <w:highlight w:val="none"/>
          <w:lang w:eastAsia="zh-CN"/>
        </w:rPr>
        <w:t>七</w:t>
      </w:r>
      <w:r>
        <w:rPr>
          <w:rFonts w:hint="eastAsia" w:ascii="宋体" w:hAnsi="宋体" w:cs="宋体"/>
          <w:b/>
          <w:color w:val="000000"/>
          <w:szCs w:val="21"/>
          <w:highlight w:val="none"/>
        </w:rPr>
        <w:t>条  发票及收付款</w:t>
      </w:r>
    </w:p>
    <w:p w14:paraId="50877013">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（一）发票要求</w:t>
      </w:r>
    </w:p>
    <w:p w14:paraId="3E6A4EAD">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1.乙方应根据合同内容和结算书内容及时向甲方出具合法、等额、有效的增值税专用发票。以上条件不满足时，乙方不得向甲方申请支付款项，甲方有权停止支付且由乙方自身承担资金风险。</w:t>
      </w:r>
    </w:p>
    <w:p w14:paraId="2D3E1914">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w:t>
      </w:r>
      <w:r>
        <w:rPr>
          <w:rFonts w:hint="eastAsia" w:ascii="宋体" w:hAnsi="宋体" w:cs="宋体"/>
          <w:color w:val="000000"/>
          <w:szCs w:val="21"/>
          <w:highlight w:val="none"/>
          <w:lang w:eastAsia="zh-CN"/>
        </w:rPr>
        <w:t>乙</w:t>
      </w:r>
      <w:r>
        <w:rPr>
          <w:rFonts w:hint="eastAsia" w:ascii="宋体" w:hAnsi="宋体" w:cs="宋体"/>
          <w:color w:val="000000"/>
          <w:szCs w:val="21"/>
          <w:highlight w:val="none"/>
        </w:rPr>
        <w:t>方应对提供的发票真实性负责。甲方对乙方实行“一票否决制”，即：如乙方提供非法发票，甲方将不再与乙方进行任何其他合作。乙方提供非法发票，包括以下几种情形：乙方非有意提供假发票，经甲方提醒仍提供假发票的；乙方有意提供假发票的。如因乙方提供非法发票，甲方未及时识别，导致甲方产生了税务风险或经济处罚的，全部损失由乙方承担。</w:t>
      </w:r>
    </w:p>
    <w:p w14:paraId="41B11A8F">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3</w:t>
      </w:r>
      <w:r>
        <w:rPr>
          <w:rFonts w:hint="eastAsia" w:ascii="宋体" w:hAnsi="宋体" w:cs="宋体"/>
          <w:szCs w:val="21"/>
          <w:highlight w:val="none"/>
        </w:rPr>
        <w:t>.乙方指定收款账号：</w:t>
      </w:r>
      <w:r>
        <w:rPr>
          <w:rFonts w:hint="eastAsia" w:ascii="宋体" w:hAnsi="宋体" w:cs="宋体"/>
          <w:szCs w:val="21"/>
          <w:highlight w:val="none"/>
          <w:u w:val="single"/>
        </w:rPr>
        <w:t xml:space="preserve">            </w:t>
      </w:r>
      <w:r>
        <w:rPr>
          <w:rFonts w:hint="eastAsia" w:ascii="宋体" w:hAnsi="宋体" w:cs="宋体"/>
          <w:szCs w:val="21"/>
          <w:highlight w:val="none"/>
        </w:rPr>
        <w:t>； 开户名</w:t>
      </w:r>
      <w:r>
        <w:rPr>
          <w:rFonts w:hint="eastAsia" w:ascii="宋体" w:hAnsi="宋体" w:cs="宋体"/>
          <w:szCs w:val="21"/>
          <w:highlight w:val="none"/>
          <w:lang w:eastAsia="zh-CN"/>
        </w:rPr>
        <w:t>：</w:t>
      </w:r>
      <w:r>
        <w:rPr>
          <w:rFonts w:hint="eastAsia" w:ascii="宋体" w:hAnsi="宋体" w:cs="宋体"/>
          <w:szCs w:val="21"/>
          <w:highlight w:val="none"/>
          <w:u w:val="single"/>
        </w:rPr>
        <w:t xml:space="preserve">            </w:t>
      </w:r>
      <w:r>
        <w:rPr>
          <w:rFonts w:hint="eastAsia" w:ascii="宋体" w:hAnsi="宋体" w:cs="宋体"/>
          <w:szCs w:val="21"/>
          <w:highlight w:val="none"/>
        </w:rPr>
        <w:t>；开户行：</w:t>
      </w:r>
      <w:r>
        <w:rPr>
          <w:rFonts w:hint="eastAsia" w:ascii="宋体" w:hAnsi="宋体" w:cs="宋体"/>
          <w:szCs w:val="21"/>
          <w:highlight w:val="none"/>
          <w:u w:val="single"/>
        </w:rPr>
        <w:t xml:space="preserve">            </w:t>
      </w:r>
      <w:r>
        <w:rPr>
          <w:rFonts w:hint="eastAsia" w:ascii="宋体" w:hAnsi="宋体" w:cs="宋体"/>
          <w:szCs w:val="21"/>
          <w:highlight w:val="none"/>
        </w:rPr>
        <w:t>。乙方应保证该收款账户能够正常使用，因该收款账户异常导致费用支付异常或支付不成功的，乙方自行承担相应的责任；给甲方造成实际损失的，乙方应承担相应的赔偿责任。</w:t>
      </w:r>
    </w:p>
    <w:p w14:paraId="6202C248">
      <w:pPr>
        <w:spacing w:line="360" w:lineRule="auto"/>
        <w:ind w:firstLine="422" w:firstLineChars="200"/>
        <w:rPr>
          <w:rFonts w:hint="eastAsia" w:ascii="宋体" w:hAnsi="宋体" w:cs="宋体"/>
          <w:b/>
          <w:color w:val="000000"/>
          <w:szCs w:val="21"/>
          <w:highlight w:val="none"/>
        </w:rPr>
      </w:pPr>
      <w:r>
        <w:rPr>
          <w:rFonts w:hint="eastAsia" w:ascii="宋体" w:hAnsi="宋体" w:cs="宋体"/>
          <w:b/>
          <w:color w:val="000000"/>
          <w:szCs w:val="21"/>
          <w:highlight w:val="none"/>
        </w:rPr>
        <w:t>第十</w:t>
      </w:r>
      <w:r>
        <w:rPr>
          <w:rFonts w:hint="eastAsia" w:ascii="宋体" w:hAnsi="宋体" w:cs="宋体"/>
          <w:b/>
          <w:color w:val="000000"/>
          <w:szCs w:val="21"/>
          <w:highlight w:val="none"/>
          <w:lang w:eastAsia="zh-CN"/>
        </w:rPr>
        <w:t>八</w:t>
      </w:r>
      <w:r>
        <w:rPr>
          <w:rFonts w:hint="eastAsia" w:ascii="宋体" w:hAnsi="宋体" w:cs="宋体"/>
          <w:b/>
          <w:color w:val="000000"/>
          <w:szCs w:val="21"/>
          <w:highlight w:val="none"/>
        </w:rPr>
        <w:t>条 保险</w:t>
      </w:r>
    </w:p>
    <w:p w14:paraId="735B8DFD">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1.分包人应依照法律规定参加工伤保险，并为其履行合同的全部员工办理工伤保险，缴纳工伤保险费，并要求其聘请的第三方依法参加工伤保险。</w:t>
      </w:r>
    </w:p>
    <w:p w14:paraId="08C3C18B">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2.分包人应为其雇佣的人员办理意外伤害保险，为其施工设备等办理财产保险。</w:t>
      </w:r>
    </w:p>
    <w:p w14:paraId="3920B5E4">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3.保险事故发生时，乙方有责任采取必要的措施，防止或减少损失。</w:t>
      </w:r>
    </w:p>
    <w:p w14:paraId="2E53CDD4">
      <w:pPr>
        <w:spacing w:line="360" w:lineRule="auto"/>
        <w:ind w:firstLine="422" w:firstLineChars="200"/>
        <w:rPr>
          <w:rFonts w:hint="eastAsia" w:ascii="宋体" w:hAnsi="宋体" w:cs="宋体"/>
          <w:b/>
          <w:color w:val="000000"/>
          <w:szCs w:val="21"/>
          <w:highlight w:val="none"/>
        </w:rPr>
      </w:pPr>
      <w:r>
        <w:rPr>
          <w:rFonts w:hint="eastAsia" w:ascii="宋体" w:hAnsi="宋体" w:cs="宋体"/>
          <w:b/>
          <w:color w:val="000000"/>
          <w:szCs w:val="21"/>
          <w:highlight w:val="none"/>
        </w:rPr>
        <w:t>第十</w:t>
      </w:r>
      <w:r>
        <w:rPr>
          <w:rFonts w:hint="eastAsia" w:ascii="宋体" w:hAnsi="宋体" w:cs="宋体"/>
          <w:b/>
          <w:color w:val="000000"/>
          <w:szCs w:val="21"/>
          <w:highlight w:val="none"/>
          <w:lang w:eastAsia="zh-CN"/>
        </w:rPr>
        <w:t>九</w:t>
      </w:r>
      <w:r>
        <w:rPr>
          <w:rFonts w:hint="eastAsia" w:ascii="宋体" w:hAnsi="宋体" w:cs="宋体"/>
          <w:b/>
          <w:color w:val="000000"/>
          <w:szCs w:val="21"/>
          <w:highlight w:val="none"/>
        </w:rPr>
        <w:t>条  违约责任</w:t>
      </w:r>
    </w:p>
    <w:p w14:paraId="59615CFC">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（一）甲方未按本合同约定向乙方支付款项的，乙方有权书面催收。甲方自收到书面催收通知之日</w:t>
      </w:r>
      <w:r>
        <w:rPr>
          <w:rFonts w:hint="eastAsia" w:ascii="宋体" w:hAnsi="宋体" w:cs="宋体"/>
          <w:color w:val="000000"/>
          <w:szCs w:val="21"/>
          <w:highlight w:val="none"/>
          <w:u w:val="single"/>
        </w:rPr>
        <w:t xml:space="preserve">   30   </w:t>
      </w:r>
      <w:r>
        <w:rPr>
          <w:rFonts w:hint="eastAsia" w:ascii="宋体" w:hAnsi="宋体" w:cs="宋体"/>
          <w:color w:val="000000"/>
          <w:szCs w:val="21"/>
          <w:highlight w:val="none"/>
        </w:rPr>
        <w:t>工作日内仍未付款的，乙方有权向甲方收取违约金。</w:t>
      </w:r>
    </w:p>
    <w:p w14:paraId="54D3D931">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（二）甲方未向乙方提供相关资料、进场施工条件造成工期延误的，相关工期延误责任由甲方承担。</w:t>
      </w:r>
    </w:p>
    <w:p w14:paraId="7DDB7D95">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（三）乙方分包的工程项目，不得再行分包。乙方擅自分包造成工程质量不合格的，甲方有权终止合同并要求乙方承担合同总价款</w:t>
      </w:r>
      <w:r>
        <w:rPr>
          <w:rFonts w:hint="eastAsia" w:ascii="宋体" w:hAnsi="宋体" w:cs="宋体"/>
          <w:color w:val="000000"/>
          <w:szCs w:val="21"/>
          <w:highlight w:val="none"/>
          <w:u w:val="single"/>
        </w:rPr>
        <w:t xml:space="preserve">   10   </w:t>
      </w:r>
      <w:r>
        <w:rPr>
          <w:rFonts w:hint="eastAsia" w:ascii="宋体" w:hAnsi="宋体" w:cs="宋体"/>
          <w:color w:val="000000"/>
          <w:szCs w:val="21"/>
          <w:highlight w:val="none"/>
        </w:rPr>
        <w:t>%的违约金。不足以弥补甲方损失的，甲方有权继续追偿。</w:t>
      </w:r>
    </w:p>
    <w:p w14:paraId="32EE0145">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（四）乙方未在甲方、监理方指定的日期内对相关问题进行整改或者整改不力的，甲方有权视情节轻重按次向乙方收取</w:t>
      </w:r>
      <w:r>
        <w:rPr>
          <w:rFonts w:hint="eastAsia" w:ascii="宋体" w:hAnsi="宋体" w:cs="宋体"/>
          <w:color w:val="000000"/>
          <w:szCs w:val="21"/>
          <w:highlight w:val="none"/>
          <w:u w:val="single"/>
        </w:rPr>
        <w:t xml:space="preserve">   1000   </w:t>
      </w:r>
      <w:r>
        <w:rPr>
          <w:rFonts w:hint="eastAsia" w:ascii="宋体" w:hAnsi="宋体" w:cs="宋体"/>
          <w:color w:val="000000"/>
          <w:szCs w:val="21"/>
          <w:highlight w:val="none"/>
        </w:rPr>
        <w:t>元至</w:t>
      </w:r>
      <w:r>
        <w:rPr>
          <w:rFonts w:hint="eastAsia" w:ascii="宋体" w:hAnsi="宋体" w:cs="宋体"/>
          <w:color w:val="000000"/>
          <w:szCs w:val="21"/>
          <w:highlight w:val="none"/>
          <w:u w:val="single"/>
        </w:rPr>
        <w:t xml:space="preserve">   2000   </w:t>
      </w:r>
      <w:r>
        <w:rPr>
          <w:rFonts w:hint="eastAsia" w:ascii="宋体" w:hAnsi="宋体" w:cs="宋体"/>
          <w:color w:val="000000"/>
          <w:szCs w:val="21"/>
          <w:highlight w:val="none"/>
        </w:rPr>
        <w:t>元的违约金。情节严重的，甲方有权停工，乙方应当承担因停工造成的损失。存在重大安全隐患的，甲方有权解除合同，并要求乙方承担合同总价款</w:t>
      </w:r>
      <w:r>
        <w:rPr>
          <w:rFonts w:hint="eastAsia" w:ascii="宋体" w:hAnsi="宋体" w:cs="宋体"/>
          <w:color w:val="000000"/>
          <w:szCs w:val="21"/>
          <w:highlight w:val="none"/>
          <w:u w:val="single"/>
        </w:rPr>
        <w:t xml:space="preserve">   5   </w:t>
      </w:r>
      <w:r>
        <w:rPr>
          <w:rFonts w:hint="eastAsia" w:ascii="宋体" w:hAnsi="宋体" w:cs="宋体"/>
          <w:color w:val="000000"/>
          <w:szCs w:val="21"/>
          <w:highlight w:val="none"/>
        </w:rPr>
        <w:t>%的违约金。不足以弥补甲方损失的，甲方有权继续追偿。</w:t>
      </w:r>
    </w:p>
    <w:p w14:paraId="29039D67">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（五）乙方及乙方施工人员在施工现场打架斗殴的，甲方有权收取</w:t>
      </w:r>
      <w:r>
        <w:rPr>
          <w:rFonts w:hint="eastAsia" w:ascii="宋体" w:hAnsi="宋体" w:cs="宋体"/>
          <w:color w:val="000000"/>
          <w:szCs w:val="21"/>
          <w:highlight w:val="none"/>
          <w:u w:val="single"/>
        </w:rPr>
        <w:t xml:space="preserve">  500   </w:t>
      </w:r>
      <w:r>
        <w:rPr>
          <w:rFonts w:hint="eastAsia" w:ascii="宋体" w:hAnsi="宋体" w:cs="宋体"/>
          <w:color w:val="000000"/>
          <w:szCs w:val="21"/>
          <w:highlight w:val="none"/>
        </w:rPr>
        <w:t>元/次违约金。情节严重的，甲方有权交由公安机关处理，甲方不承担任何责任。</w:t>
      </w:r>
    </w:p>
    <w:p w14:paraId="543A1659">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（六）乙方未按本合同约定为相关人员购买保险导致受害人无法因工伤获得赔偿的，乙方应承担一切责任。</w:t>
      </w:r>
    </w:p>
    <w:p w14:paraId="488707AC">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（七）因乙方原因导致安全事故的，所有赔偿责任由乙方承担。若甲方被有权机关判处承担责任的，甲方在承担责任后有权向乙方追偿，并有权要求乙方承担合同总价款</w:t>
      </w:r>
      <w:r>
        <w:rPr>
          <w:rFonts w:hint="eastAsia" w:ascii="宋体" w:hAnsi="宋体" w:cs="宋体"/>
          <w:color w:val="000000"/>
          <w:szCs w:val="21"/>
          <w:highlight w:val="none"/>
          <w:u w:val="single"/>
        </w:rPr>
        <w:t xml:space="preserve">   10   </w:t>
      </w:r>
      <w:r>
        <w:rPr>
          <w:rFonts w:hint="eastAsia" w:ascii="宋体" w:hAnsi="宋体" w:cs="宋体"/>
          <w:color w:val="000000"/>
          <w:szCs w:val="21"/>
          <w:highlight w:val="none"/>
        </w:rPr>
        <w:t>%的违约金。</w:t>
      </w:r>
    </w:p>
    <w:p w14:paraId="2F81D7B2">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（八）施工中，乙方不得对原工程设计进行变更。因乙方擅自变更设计发生的费用和由此导致甲方的损失，由乙方承担，延误的工期不予顺延。因乙方自身原因导致的工程变更，乙方无权要求追加劳务报酬。</w:t>
      </w:r>
    </w:p>
    <w:p w14:paraId="500CE70E">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（九）因乙方原因导致工期延误的，每延误一天，甲方有权收取</w:t>
      </w:r>
      <w:r>
        <w:rPr>
          <w:rFonts w:hint="eastAsia" w:ascii="宋体" w:hAnsi="宋体" w:cs="宋体"/>
          <w:color w:val="000000"/>
          <w:szCs w:val="21"/>
          <w:highlight w:val="none"/>
          <w:u w:val="single"/>
        </w:rPr>
        <w:t xml:space="preserve">  500   </w:t>
      </w:r>
      <w:r>
        <w:rPr>
          <w:rFonts w:hint="eastAsia" w:ascii="宋体" w:hAnsi="宋体" w:cs="宋体"/>
          <w:color w:val="000000"/>
          <w:szCs w:val="21"/>
          <w:highlight w:val="none"/>
        </w:rPr>
        <w:t>元违约金。</w:t>
      </w:r>
    </w:p>
    <w:p w14:paraId="7D0543B6">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（十）乙方施工质量不符合本合同约定的质量标准，乙方应向甲方支付合同总价款</w:t>
      </w:r>
      <w:r>
        <w:rPr>
          <w:rFonts w:hint="eastAsia" w:ascii="宋体" w:hAnsi="宋体" w:cs="宋体"/>
          <w:color w:val="000000"/>
          <w:szCs w:val="21"/>
          <w:highlight w:val="none"/>
          <w:u w:val="single"/>
        </w:rPr>
        <w:t xml:space="preserve">   5   </w:t>
      </w:r>
      <w:r>
        <w:rPr>
          <w:rFonts w:hint="eastAsia" w:ascii="宋体" w:hAnsi="宋体" w:cs="宋体"/>
          <w:color w:val="000000"/>
          <w:szCs w:val="21"/>
          <w:highlight w:val="none"/>
        </w:rPr>
        <w:t>%的违约金。</w:t>
      </w:r>
    </w:p>
    <w:p w14:paraId="48EE8F37">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（十一）一方违约后，另一方要求违约方继续履行合同时，违约方承担上述违约责任后仍应继续履行合同。</w:t>
      </w:r>
    </w:p>
    <w:p w14:paraId="0B68CC3F">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（十二）合同签订后，除经双方协商一致、本合同约定或法律另有约定外，任一方不得随意变更或解除。若乙方单方解除合同，甲方有权要求乙方赔偿因影响施工计划造成的经济损失，同时乙方应按合同总价</w:t>
      </w:r>
      <w:r>
        <w:rPr>
          <w:rFonts w:hint="eastAsia" w:ascii="宋体" w:hAnsi="宋体" w:cs="宋体"/>
          <w:color w:val="000000"/>
          <w:szCs w:val="21"/>
          <w:highlight w:val="none"/>
          <w:u w:val="single"/>
        </w:rPr>
        <w:t xml:space="preserve">  10   </w:t>
      </w:r>
      <w:r>
        <w:rPr>
          <w:rFonts w:hint="eastAsia" w:ascii="宋体" w:hAnsi="宋体" w:cs="宋体"/>
          <w:color w:val="000000"/>
          <w:szCs w:val="21"/>
          <w:highlight w:val="none"/>
        </w:rPr>
        <w:t>%的金额向甲方支付违约金。</w:t>
      </w:r>
    </w:p>
    <w:p w14:paraId="2ABE8157">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（十三）乙方应向甲方支付的违约金，甲方有权从履约保证金予以扣除，且乙方应及时补足履约保证金。履约保证金不足以弥补甲方损失的，甲方有权继续追偿。</w:t>
      </w:r>
    </w:p>
    <w:p w14:paraId="787513B8">
      <w:pPr>
        <w:spacing w:line="360" w:lineRule="auto"/>
        <w:ind w:firstLine="422" w:firstLineChars="200"/>
        <w:rPr>
          <w:rFonts w:hint="eastAsia" w:ascii="宋体" w:hAnsi="宋体" w:cs="宋体"/>
          <w:b/>
          <w:color w:val="000000"/>
          <w:szCs w:val="21"/>
          <w:highlight w:val="none"/>
        </w:rPr>
      </w:pPr>
      <w:r>
        <w:rPr>
          <w:rFonts w:hint="eastAsia" w:ascii="宋体" w:hAnsi="宋体" w:cs="宋体"/>
          <w:b/>
          <w:color w:val="000000"/>
          <w:szCs w:val="21"/>
          <w:highlight w:val="none"/>
        </w:rPr>
        <w:t>第</w:t>
      </w:r>
      <w:r>
        <w:rPr>
          <w:rFonts w:hint="eastAsia" w:ascii="宋体" w:hAnsi="宋体" w:cs="宋体"/>
          <w:b/>
          <w:color w:val="000000"/>
          <w:szCs w:val="21"/>
          <w:highlight w:val="none"/>
          <w:lang w:eastAsia="zh-CN"/>
        </w:rPr>
        <w:t>二</w:t>
      </w:r>
      <w:r>
        <w:rPr>
          <w:rFonts w:hint="eastAsia" w:ascii="宋体" w:hAnsi="宋体" w:cs="宋体"/>
          <w:b/>
          <w:color w:val="000000"/>
          <w:szCs w:val="21"/>
          <w:highlight w:val="none"/>
        </w:rPr>
        <w:t>十条  合同解除</w:t>
      </w:r>
    </w:p>
    <w:p w14:paraId="46B72F21">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甲方有权因上级部门政策调整、机构职能调整、客观形势变化、公共利益需要等原因终止本合同及本合同项下的所有协议，或者调整合同主体或者调整合同项目范围、合同计价标准或内容，乙方承诺无条件接受并不得因此提出索赔或补偿要求。</w:t>
      </w:r>
    </w:p>
    <w:p w14:paraId="1D920459">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（一）乙方在本合同有效期内发生以下情况时，甲方有权立即全部或部分解除本合同：</w:t>
      </w:r>
    </w:p>
    <w:p w14:paraId="5202C7C3">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（1）由监督机关吊销营业执照或处以停业等处分时；</w:t>
      </w:r>
    </w:p>
    <w:p w14:paraId="09FC63E1">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（2）进入破产、重整、和解程序时；</w:t>
      </w:r>
    </w:p>
    <w:p w14:paraId="3BF35CD5">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（3）因第三人提起的临时扣押、财产保全、强制执行等措施，可被认定为资产状况极度恶化的严重事态已发生时；</w:t>
      </w:r>
    </w:p>
    <w:p w14:paraId="065F32FC">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（4）开出的票据或支票被拒付或陷入被停止支付或支付不能的状态时；</w:t>
      </w:r>
    </w:p>
    <w:p w14:paraId="0B643B48">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（5）解散、合并或重要经营资产转让时；</w:t>
      </w:r>
    </w:p>
    <w:p w14:paraId="3A3ECF9C">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（6）违反本合同义务，经发出限期予以履约或改正的催告后仍没有予以履约或改正的；</w:t>
      </w:r>
    </w:p>
    <w:p w14:paraId="15479A11">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（7）本合同约定的其他情形。</w:t>
      </w:r>
    </w:p>
    <w:p w14:paraId="2E1F205B">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（二）如在乙方没有全面履行本合同义务之前，总包合同解除，则甲方应及时通知乙方解除本合同，乙方接到通知后应尽快撤离现场。</w:t>
      </w:r>
    </w:p>
    <w:p w14:paraId="592A47E6">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三）合同解除后，乙方应妥善做好已完工程和剩余材料、设备的保护和移交工作，按甲方要求撤出施工场地。甲方应为乙方撤出提供必要条件，按合同约定支付已完工作劳务报酬。有过错的一方应当赔偿因合同解除给对方造成的损失。合同解除后，不影响双方在合同中约定的结算和清理条款的效力。</w:t>
      </w:r>
    </w:p>
    <w:p w14:paraId="55A85E42">
      <w:pPr>
        <w:spacing w:line="360" w:lineRule="auto"/>
        <w:ind w:firstLine="422" w:firstLineChars="200"/>
        <w:rPr>
          <w:rFonts w:hint="eastAsia" w:ascii="宋体" w:hAnsi="宋体" w:cs="宋体"/>
          <w:b/>
          <w:color w:val="000000"/>
          <w:szCs w:val="21"/>
          <w:highlight w:val="none"/>
        </w:rPr>
      </w:pPr>
      <w:r>
        <w:rPr>
          <w:rFonts w:hint="eastAsia" w:ascii="宋体" w:hAnsi="宋体" w:cs="宋体"/>
          <w:b/>
          <w:color w:val="000000"/>
          <w:szCs w:val="21"/>
          <w:highlight w:val="none"/>
        </w:rPr>
        <w:t>第二十</w:t>
      </w:r>
      <w:r>
        <w:rPr>
          <w:rFonts w:hint="eastAsia" w:ascii="宋体" w:hAnsi="宋体" w:cs="宋体"/>
          <w:b/>
          <w:color w:val="000000"/>
          <w:szCs w:val="21"/>
          <w:highlight w:val="none"/>
          <w:lang w:eastAsia="zh-CN"/>
        </w:rPr>
        <w:t>一</w:t>
      </w:r>
      <w:r>
        <w:rPr>
          <w:rFonts w:hint="eastAsia" w:ascii="宋体" w:hAnsi="宋体" w:cs="宋体"/>
          <w:b/>
          <w:color w:val="000000"/>
          <w:szCs w:val="21"/>
          <w:highlight w:val="none"/>
        </w:rPr>
        <w:t>条 不可抗力</w:t>
      </w:r>
    </w:p>
    <w:p w14:paraId="5EEB671C">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（一）甲方与业主方签订的合同对不可抗力</w:t>
      </w:r>
      <w:r>
        <w:rPr>
          <w:rFonts w:hint="eastAsia" w:ascii="宋体" w:hAnsi="宋体" w:cs="宋体"/>
          <w:color w:val="000000"/>
          <w:szCs w:val="21"/>
          <w:highlight w:val="none"/>
          <w:lang w:eastAsia="zh-CN"/>
        </w:rPr>
        <w:t>事件</w:t>
      </w:r>
      <w:r>
        <w:rPr>
          <w:rFonts w:hint="eastAsia" w:ascii="宋体" w:hAnsi="宋体" w:cs="宋体"/>
          <w:color w:val="000000"/>
          <w:szCs w:val="21"/>
          <w:highlight w:val="none"/>
        </w:rPr>
        <w:t>有约定的，从其约定。若未约定的，则不可抗力事件是指：任何一方在订立本合同时不能预见的，对其发生的后果不能避免、不能克服并且非属该方的过错或疏忽使其迟延或未能履行本合同项下的义务的事件，包括但不限于天灾、火灾、洪水、爆炸、战争、自然灾害、运输工具或其它公用事业的中断或停顿。</w:t>
      </w:r>
    </w:p>
    <w:p w14:paraId="3A690632">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（二）如有不可抗力事件的发生，声称遭遇不可抗力的一方应于48小时内通知另一方，并在力所能及的条件下迅速采取措施，尽力减少损失。甲方认为应当暂停施工的，乙方应暂停施工。</w:t>
      </w:r>
    </w:p>
    <w:p w14:paraId="1CF9FA63">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（三）因不可抗力事件导致的费用和延误的工作时间由双方按以下办法分别承担：</w:t>
      </w:r>
    </w:p>
    <w:p w14:paraId="2AE5FBDE">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1.甲、乙双方人员伤亡由甲乙双方各自负责，并承担相应费用，但乙方存在过错的除外；</w:t>
      </w:r>
    </w:p>
    <w:p w14:paraId="79CA7544">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 专业分包项目本身的损害、因分包项目损害导致第三人人员伤亡和财产损失以及乙方为完成分包项目而运至施工场地用于作业的材料和待安装的设备的损害由乙方承担；专业分包项目所遭受的损害，乙方负责修复，费用由乙方承担，甲方不另行支付费用；</w:t>
      </w:r>
    </w:p>
    <w:p w14:paraId="196231DE">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3.乙方自有设备、辅助材料等遭受的损失，由乙方自行承担；</w:t>
      </w:r>
    </w:p>
    <w:p w14:paraId="1E60C2B5">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4.甲方提供给乙方使用的机械设备遭受损害的，乙方未妥善保管的，乙方负责赔偿；</w:t>
      </w:r>
    </w:p>
    <w:p w14:paraId="560733B1">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5.乙方因不可抗力遭受的停工损失由乙方自行承担；</w:t>
      </w:r>
    </w:p>
    <w:p w14:paraId="483E73C9">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6.遭受不可抗力期间，乙方应按甲方要求安排相关人员留在施工场地进行管理，相关费用由乙方承担；</w:t>
      </w:r>
    </w:p>
    <w:p w14:paraId="2FC3AB2C">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7.延误的工期相应顺延。</w:t>
      </w:r>
    </w:p>
    <w:p w14:paraId="70CB98E5">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四）任何一方因不可抗力事件而延迟或未能履行本合同项下的义务，在取得有关证明以后，可部分或全部免予承担违约责任，但同时应采取合理手段减少不可抗力给双方造成的影响，未采取有效措施导致损失扩大，该方当事人应对损失扩大的部分承担损失赔偿责任。</w:t>
      </w:r>
    </w:p>
    <w:p w14:paraId="6AF71EB5">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（五）因合同一方迟延履行合同后发生不可抗力的，不能免除迟延履行方的相应责任。</w:t>
      </w:r>
    </w:p>
    <w:p w14:paraId="264C9617">
      <w:pPr>
        <w:spacing w:line="360" w:lineRule="auto"/>
        <w:ind w:firstLine="422" w:firstLineChars="200"/>
        <w:rPr>
          <w:rFonts w:hint="eastAsia" w:ascii="宋体" w:hAnsi="宋体" w:cs="宋体"/>
          <w:b/>
          <w:color w:val="000000"/>
          <w:szCs w:val="21"/>
          <w:highlight w:val="none"/>
        </w:rPr>
      </w:pPr>
      <w:r>
        <w:rPr>
          <w:rFonts w:hint="eastAsia" w:ascii="宋体" w:hAnsi="宋体" w:cs="宋体"/>
          <w:b/>
          <w:color w:val="000000"/>
          <w:szCs w:val="21"/>
          <w:highlight w:val="none"/>
        </w:rPr>
        <w:t>第二十</w:t>
      </w:r>
      <w:r>
        <w:rPr>
          <w:rFonts w:hint="eastAsia" w:ascii="宋体" w:hAnsi="宋体" w:cs="宋体"/>
          <w:b/>
          <w:color w:val="000000"/>
          <w:szCs w:val="21"/>
          <w:highlight w:val="none"/>
          <w:lang w:eastAsia="zh-CN"/>
        </w:rPr>
        <w:t>二</w:t>
      </w:r>
      <w:r>
        <w:rPr>
          <w:rFonts w:hint="eastAsia" w:ascii="宋体" w:hAnsi="宋体" w:cs="宋体"/>
          <w:b/>
          <w:color w:val="000000"/>
          <w:szCs w:val="21"/>
          <w:highlight w:val="none"/>
        </w:rPr>
        <w:t>条 争议解决</w:t>
      </w:r>
    </w:p>
    <w:p w14:paraId="3424FB63">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凡因本合同引起的或与本合同有关的一切争议，双方应在15日内友好协商解决，无法协商解决的，通过以下第</w:t>
      </w:r>
      <w:r>
        <w:rPr>
          <w:rFonts w:hint="eastAsia" w:ascii="宋体" w:hAnsi="宋体" w:cs="宋体"/>
          <w:color w:val="000000"/>
          <w:szCs w:val="21"/>
          <w:highlight w:val="none"/>
          <w:u w:val="single"/>
        </w:rPr>
        <w:t xml:space="preserve">      2    </w:t>
      </w:r>
      <w:r>
        <w:rPr>
          <w:rFonts w:hint="eastAsia" w:ascii="宋体" w:hAnsi="宋体" w:cs="宋体"/>
          <w:color w:val="000000"/>
          <w:szCs w:val="21"/>
          <w:highlight w:val="none"/>
        </w:rPr>
        <w:t>种方式解决：</w:t>
      </w:r>
    </w:p>
    <w:p w14:paraId="2F827811">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1.由深圳仲裁委员会仲裁解决；</w:t>
      </w:r>
    </w:p>
    <w:p w14:paraId="4C378C71">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2.由甲方所在地人民法院诉讼解决。</w:t>
      </w:r>
    </w:p>
    <w:p w14:paraId="5A21A808">
      <w:pPr>
        <w:spacing w:line="360" w:lineRule="auto"/>
        <w:ind w:firstLine="422" w:firstLineChars="200"/>
        <w:rPr>
          <w:rFonts w:hint="eastAsia" w:ascii="宋体" w:hAnsi="宋体" w:cs="宋体"/>
          <w:b/>
          <w:color w:val="000000"/>
          <w:szCs w:val="21"/>
          <w:highlight w:val="none"/>
        </w:rPr>
      </w:pPr>
      <w:r>
        <w:rPr>
          <w:rFonts w:hint="eastAsia" w:ascii="宋体" w:hAnsi="宋体" w:cs="宋体"/>
          <w:b/>
          <w:color w:val="000000"/>
          <w:szCs w:val="21"/>
          <w:highlight w:val="none"/>
        </w:rPr>
        <w:t>第二十</w:t>
      </w:r>
      <w:r>
        <w:rPr>
          <w:rFonts w:hint="eastAsia" w:ascii="宋体" w:hAnsi="宋体" w:cs="宋体"/>
          <w:b/>
          <w:color w:val="000000"/>
          <w:szCs w:val="21"/>
          <w:highlight w:val="none"/>
          <w:lang w:eastAsia="zh-CN"/>
        </w:rPr>
        <w:t>三</w:t>
      </w:r>
      <w:r>
        <w:rPr>
          <w:rFonts w:hint="eastAsia" w:ascii="宋体" w:hAnsi="宋体" w:cs="宋体"/>
          <w:b/>
          <w:color w:val="000000"/>
          <w:szCs w:val="21"/>
          <w:highlight w:val="none"/>
        </w:rPr>
        <w:t>条  其他</w:t>
      </w:r>
    </w:p>
    <w:p w14:paraId="2396431C">
      <w:pPr>
        <w:pStyle w:val="288"/>
        <w:widowControl w:val="0"/>
        <w:numPr>
          <w:ilvl w:val="0"/>
          <w:numId w:val="0"/>
        </w:numPr>
        <w:tabs>
          <w:tab w:val="left" w:pos="1140"/>
        </w:tabs>
        <w:spacing w:line="360" w:lineRule="auto"/>
        <w:ind w:leftChars="200"/>
        <w:outlineLvl w:val="9"/>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1.</w:t>
      </w:r>
      <w:r>
        <w:rPr>
          <w:rFonts w:hint="eastAsia" w:ascii="宋体" w:hAnsi="宋体" w:eastAsia="宋体" w:cs="宋体"/>
          <w:sz w:val="21"/>
          <w:szCs w:val="21"/>
          <w:highlight w:val="none"/>
        </w:rPr>
        <w:t>考核评价参照</w:t>
      </w:r>
      <w:r>
        <w:rPr>
          <w:rFonts w:hint="eastAsia" w:ascii="宋体" w:hAnsi="宋体" w:cs="宋体"/>
          <w:sz w:val="21"/>
          <w:szCs w:val="21"/>
          <w:highlight w:val="none"/>
          <w:lang w:eastAsia="zh-CN"/>
        </w:rPr>
        <w:t>甲方</w:t>
      </w:r>
      <w:r>
        <w:rPr>
          <w:rFonts w:hint="eastAsia" w:ascii="宋体" w:hAnsi="宋体" w:eastAsia="宋体" w:cs="宋体"/>
          <w:sz w:val="21"/>
          <w:szCs w:val="21"/>
          <w:highlight w:val="none"/>
        </w:rPr>
        <w:t>内部管理办法执行</w:t>
      </w:r>
      <w:r>
        <w:rPr>
          <w:rFonts w:hint="eastAsia" w:ascii="宋体" w:hAnsi="宋体" w:cs="宋体"/>
          <w:sz w:val="21"/>
          <w:szCs w:val="21"/>
          <w:highlight w:val="none"/>
          <w:lang w:eastAsia="zh-CN"/>
        </w:rPr>
        <w:t>。</w:t>
      </w:r>
    </w:p>
    <w:p w14:paraId="7EBB9A56">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2.</w:t>
      </w:r>
      <w:r>
        <w:rPr>
          <w:rFonts w:hint="eastAsia" w:ascii="宋体" w:hAnsi="宋体" w:eastAsia="宋体" w:cs="宋体"/>
          <w:color w:val="000000"/>
          <w:szCs w:val="21"/>
          <w:highlight w:val="none"/>
        </w:rPr>
        <w:t>本项目</w:t>
      </w:r>
      <w:r>
        <w:rPr>
          <w:rFonts w:hint="eastAsia" w:ascii="宋体" w:hAnsi="宋体" w:eastAsia="宋体" w:cs="宋体"/>
          <w:color w:val="000000"/>
          <w:szCs w:val="21"/>
          <w:highlight w:val="none"/>
          <w:lang w:eastAsia="zh-CN"/>
        </w:rPr>
        <w:t>乙方</w:t>
      </w:r>
      <w:r>
        <w:rPr>
          <w:rFonts w:hint="eastAsia" w:ascii="宋体" w:hAnsi="宋体" w:eastAsia="宋体" w:cs="宋体"/>
          <w:color w:val="000000"/>
          <w:szCs w:val="21"/>
          <w:highlight w:val="none"/>
        </w:rPr>
        <w:t>需安排人员24小时值班，随时保持有人在岗，及时完成各类日常保洁、保养、抢修、小修及抢险任务。</w:t>
      </w:r>
    </w:p>
    <w:p w14:paraId="7E20C271">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3.</w:t>
      </w:r>
      <w:r>
        <w:rPr>
          <w:rFonts w:hint="eastAsia" w:ascii="宋体" w:hAnsi="宋体" w:eastAsia="宋体" w:cs="宋体"/>
          <w:color w:val="000000"/>
          <w:szCs w:val="21"/>
          <w:highlight w:val="none"/>
        </w:rPr>
        <w:t>交安病害需根据</w:t>
      </w:r>
      <w:r>
        <w:rPr>
          <w:rFonts w:hint="eastAsia" w:ascii="宋体" w:hAnsi="宋体" w:eastAsia="宋体" w:cs="宋体"/>
          <w:color w:val="000000"/>
          <w:szCs w:val="21"/>
          <w:highlight w:val="none"/>
          <w:lang w:eastAsia="zh-CN"/>
        </w:rPr>
        <w:t>甲方</w:t>
      </w:r>
      <w:r>
        <w:rPr>
          <w:rFonts w:hint="eastAsia" w:ascii="宋体" w:hAnsi="宋体" w:eastAsia="宋体" w:cs="宋体"/>
          <w:color w:val="000000"/>
          <w:szCs w:val="21"/>
          <w:highlight w:val="none"/>
        </w:rPr>
        <w:t>要求进行修复，</w:t>
      </w:r>
      <w:r>
        <w:rPr>
          <w:rFonts w:hint="eastAsia" w:ascii="宋体" w:hAnsi="宋体" w:eastAsia="宋体" w:cs="宋体"/>
          <w:color w:val="000000"/>
          <w:szCs w:val="21"/>
          <w:highlight w:val="none"/>
          <w:lang w:eastAsia="zh-CN"/>
        </w:rPr>
        <w:t>乙方</w:t>
      </w:r>
      <w:r>
        <w:rPr>
          <w:rFonts w:hint="eastAsia" w:ascii="宋体" w:hAnsi="宋体" w:eastAsia="宋体" w:cs="宋体"/>
          <w:color w:val="000000"/>
          <w:szCs w:val="21"/>
          <w:highlight w:val="none"/>
        </w:rPr>
        <w:t>发现的病害需由</w:t>
      </w:r>
      <w:r>
        <w:rPr>
          <w:rFonts w:hint="eastAsia" w:ascii="宋体" w:hAnsi="宋体" w:eastAsia="宋体" w:cs="宋体"/>
          <w:color w:val="000000"/>
          <w:szCs w:val="21"/>
          <w:highlight w:val="none"/>
          <w:lang w:eastAsia="zh-CN"/>
        </w:rPr>
        <w:t>甲方</w:t>
      </w:r>
      <w:r>
        <w:rPr>
          <w:rFonts w:hint="eastAsia" w:ascii="宋体" w:hAnsi="宋体" w:eastAsia="宋体" w:cs="宋体"/>
          <w:color w:val="000000"/>
          <w:szCs w:val="21"/>
          <w:highlight w:val="none"/>
        </w:rPr>
        <w:t>核准后方可修复处理，</w:t>
      </w:r>
      <w:r>
        <w:rPr>
          <w:rFonts w:hint="eastAsia" w:ascii="宋体" w:hAnsi="宋体" w:eastAsia="宋体" w:cs="宋体"/>
          <w:color w:val="000000"/>
          <w:szCs w:val="21"/>
          <w:highlight w:val="none"/>
          <w:lang w:eastAsia="zh-CN"/>
        </w:rPr>
        <w:t>乙方</w:t>
      </w:r>
      <w:r>
        <w:rPr>
          <w:rFonts w:hint="eastAsia" w:ascii="宋体" w:hAnsi="宋体" w:eastAsia="宋体" w:cs="宋体"/>
          <w:color w:val="000000"/>
          <w:szCs w:val="21"/>
          <w:highlight w:val="none"/>
        </w:rPr>
        <w:t>必须按照相关规定按时按质按量完成病害修复，不得因单价低或其它原因拒绝，否则三年内不得参与宝安交通集团的采购活动。</w:t>
      </w:r>
    </w:p>
    <w:p w14:paraId="69E9FDB0">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4.</w:t>
      </w:r>
      <w:r>
        <w:rPr>
          <w:rFonts w:hint="eastAsia" w:ascii="宋体" w:hAnsi="宋体" w:eastAsia="宋体" w:cs="宋体"/>
          <w:color w:val="000000"/>
          <w:szCs w:val="21"/>
          <w:highlight w:val="none"/>
        </w:rPr>
        <w:t>投标单位需熟悉深圳市交通运输局辖区管理局管理模式和智慧管养平台（https://zhgy.gcnao.cn），能进行病害上报、编制施工方案、绘制图纸、工程计量计价、申报、验收等，按</w:t>
      </w:r>
      <w:r>
        <w:rPr>
          <w:rFonts w:hint="eastAsia" w:ascii="宋体" w:hAnsi="宋体" w:eastAsia="宋体" w:cs="宋体"/>
          <w:color w:val="000000"/>
          <w:szCs w:val="21"/>
          <w:highlight w:val="none"/>
          <w:lang w:eastAsia="zh-CN"/>
        </w:rPr>
        <w:t>甲方</w:t>
      </w:r>
      <w:r>
        <w:rPr>
          <w:rFonts w:hint="eastAsia" w:ascii="宋体" w:hAnsi="宋体" w:eastAsia="宋体" w:cs="宋体"/>
          <w:color w:val="000000"/>
          <w:szCs w:val="21"/>
          <w:highlight w:val="none"/>
        </w:rPr>
        <w:t>要求安排充足的专业专职人员进行智慧管养平台操作，处理并跟进实施的案件。</w:t>
      </w:r>
    </w:p>
    <w:p w14:paraId="14A1CF62">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5.</w:t>
      </w:r>
      <w:r>
        <w:rPr>
          <w:rFonts w:hint="eastAsia" w:ascii="宋体" w:hAnsi="宋体" w:eastAsia="宋体" w:cs="宋体"/>
          <w:color w:val="000000"/>
          <w:szCs w:val="21"/>
          <w:highlight w:val="none"/>
        </w:rPr>
        <w:t>项目实施过程中由于</w:t>
      </w:r>
      <w:r>
        <w:rPr>
          <w:rFonts w:hint="eastAsia" w:ascii="宋体" w:hAnsi="宋体" w:eastAsia="宋体" w:cs="宋体"/>
          <w:color w:val="000000"/>
          <w:szCs w:val="21"/>
          <w:highlight w:val="none"/>
          <w:lang w:eastAsia="zh-CN"/>
        </w:rPr>
        <w:t>乙方</w:t>
      </w:r>
      <w:r>
        <w:rPr>
          <w:rFonts w:hint="eastAsia" w:ascii="宋体" w:hAnsi="宋体" w:eastAsia="宋体" w:cs="宋体"/>
          <w:color w:val="000000"/>
          <w:szCs w:val="21"/>
          <w:highlight w:val="none"/>
        </w:rPr>
        <w:t>原因，造成</w:t>
      </w:r>
      <w:r>
        <w:rPr>
          <w:rFonts w:hint="eastAsia" w:ascii="宋体" w:hAnsi="宋体" w:eastAsia="宋体" w:cs="宋体"/>
          <w:color w:val="000000"/>
          <w:szCs w:val="21"/>
          <w:highlight w:val="none"/>
          <w:lang w:eastAsia="zh-CN"/>
        </w:rPr>
        <w:t>甲方</w:t>
      </w:r>
      <w:r>
        <w:rPr>
          <w:rFonts w:hint="eastAsia" w:ascii="宋体" w:hAnsi="宋体" w:eastAsia="宋体" w:cs="宋体"/>
          <w:color w:val="000000"/>
          <w:szCs w:val="21"/>
          <w:highlight w:val="none"/>
        </w:rPr>
        <w:t>受到建设单位或相关政府职能部门罚金的，由</w:t>
      </w:r>
      <w:r>
        <w:rPr>
          <w:rFonts w:hint="eastAsia" w:ascii="宋体" w:hAnsi="宋体" w:eastAsia="宋体" w:cs="宋体"/>
          <w:color w:val="000000"/>
          <w:szCs w:val="21"/>
          <w:highlight w:val="none"/>
          <w:lang w:eastAsia="zh-CN"/>
        </w:rPr>
        <w:t>乙方</w:t>
      </w:r>
      <w:r>
        <w:rPr>
          <w:rFonts w:hint="eastAsia" w:ascii="宋体" w:hAnsi="宋体" w:eastAsia="宋体" w:cs="宋体"/>
          <w:color w:val="000000"/>
          <w:szCs w:val="21"/>
          <w:highlight w:val="none"/>
        </w:rPr>
        <w:t>承担。</w:t>
      </w:r>
    </w:p>
    <w:p w14:paraId="18AD8C1B">
      <w:pPr>
        <w:pStyle w:val="2"/>
        <w:tabs>
          <w:tab w:val="left" w:pos="562"/>
          <w:tab w:val="left" w:pos="3372"/>
          <w:tab w:val="left" w:pos="3653"/>
        </w:tabs>
        <w:spacing w:before="143" w:line="360" w:lineRule="auto"/>
        <w:ind w:right="67" w:firstLine="420"/>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6.本合同范围内维修或更新换代等回收的交通设施处理，如回收后经甲方业主单位确认可重复利用的，可重新使用，如回收后经甲方业主单位确认不能重复利用的，则集中堆放在中标人养护基地，由甲方业主单位估算残值后委托中标人统一处理，相关费用按《关于处置道路交通设施残值资产的有关事项的通知》处理。</w:t>
      </w:r>
      <w:r>
        <w:rPr>
          <w:rFonts w:hint="eastAsia" w:ascii="宋体" w:hAnsi="宋体" w:eastAsia="宋体" w:cs="宋体"/>
          <w:bCs w:val="0"/>
          <w:color w:val="000000"/>
          <w:kern w:val="2"/>
          <w:sz w:val="21"/>
          <w:szCs w:val="21"/>
          <w:highlight w:val="none"/>
          <w:lang w:val="en-US" w:eastAsia="zh-CN" w:bidi="ar-SA"/>
        </w:rPr>
        <w:t>招标人业主单位从招标人处扣回的回收残值总额，招标人也相应的从中标人结算款中扣回</w:t>
      </w:r>
      <w:r>
        <w:rPr>
          <w:rFonts w:hint="eastAsia" w:ascii="宋体" w:hAnsi="宋体" w:cs="宋体"/>
          <w:bCs w:val="0"/>
          <w:color w:val="000000"/>
          <w:kern w:val="2"/>
          <w:sz w:val="21"/>
          <w:szCs w:val="21"/>
          <w:highlight w:val="none"/>
          <w:lang w:val="en-US" w:eastAsia="zh-CN" w:bidi="ar-SA"/>
        </w:rPr>
        <w:t>。</w:t>
      </w:r>
    </w:p>
    <w:p w14:paraId="1D2D9A90">
      <w:pPr>
        <w:spacing w:line="360" w:lineRule="auto"/>
        <w:ind w:firstLine="422" w:firstLineChars="200"/>
        <w:rPr>
          <w:rFonts w:hint="eastAsia" w:ascii="宋体" w:hAnsi="宋体" w:cs="宋体"/>
          <w:b/>
          <w:color w:val="000000"/>
          <w:szCs w:val="21"/>
          <w:highlight w:val="none"/>
        </w:rPr>
      </w:pPr>
      <w:r>
        <w:rPr>
          <w:rFonts w:hint="eastAsia" w:ascii="宋体" w:hAnsi="宋体" w:cs="宋体"/>
          <w:b/>
          <w:color w:val="000000"/>
          <w:szCs w:val="21"/>
          <w:highlight w:val="none"/>
        </w:rPr>
        <w:t>第二十</w:t>
      </w:r>
      <w:r>
        <w:rPr>
          <w:rFonts w:hint="eastAsia" w:ascii="宋体" w:hAnsi="宋体" w:cs="宋体"/>
          <w:b/>
          <w:color w:val="000000"/>
          <w:szCs w:val="21"/>
          <w:highlight w:val="none"/>
          <w:lang w:eastAsia="zh-CN"/>
        </w:rPr>
        <w:t>四</w:t>
      </w:r>
      <w:r>
        <w:rPr>
          <w:rFonts w:hint="eastAsia" w:ascii="宋体" w:hAnsi="宋体" w:cs="宋体"/>
          <w:b/>
          <w:color w:val="000000"/>
          <w:szCs w:val="21"/>
          <w:highlight w:val="none"/>
        </w:rPr>
        <w:t xml:space="preserve">条 </w:t>
      </w:r>
      <w:r>
        <w:rPr>
          <w:rFonts w:hint="eastAsia" w:ascii="宋体" w:hAnsi="宋体" w:cs="宋体"/>
          <w:color w:val="000000"/>
          <w:szCs w:val="21"/>
          <w:highlight w:val="none"/>
        </w:rPr>
        <w:t>本合同</w:t>
      </w:r>
      <w:r>
        <w:rPr>
          <w:rFonts w:hint="eastAsia" w:ascii="宋体" w:hAnsi="宋体" w:cs="宋体"/>
          <w:szCs w:val="21"/>
          <w:highlight w:val="none"/>
        </w:rPr>
        <w:t>正本一式</w:t>
      </w:r>
      <w:r>
        <w:rPr>
          <w:rFonts w:hint="eastAsia" w:ascii="宋体" w:hAnsi="宋体" w:cs="宋体"/>
          <w:szCs w:val="21"/>
          <w:highlight w:val="none"/>
          <w:u w:val="single"/>
          <w:lang w:val="en-US" w:eastAsia="zh-CN"/>
        </w:rPr>
        <w:t>捌</w:t>
      </w:r>
      <w:r>
        <w:rPr>
          <w:rFonts w:hint="eastAsia" w:ascii="宋体" w:hAnsi="宋体" w:cs="宋体"/>
          <w:szCs w:val="21"/>
          <w:highlight w:val="none"/>
        </w:rPr>
        <w:t>份，甲方执</w:t>
      </w:r>
      <w:r>
        <w:rPr>
          <w:rFonts w:hint="eastAsia" w:ascii="宋体" w:hAnsi="宋体" w:cs="宋体"/>
          <w:szCs w:val="21"/>
          <w:highlight w:val="none"/>
          <w:u w:val="single"/>
          <w:lang w:val="en-US" w:eastAsia="zh-CN"/>
        </w:rPr>
        <w:t>陆</w:t>
      </w:r>
      <w:r>
        <w:rPr>
          <w:rFonts w:hint="eastAsia" w:ascii="宋体" w:hAnsi="宋体" w:cs="宋体"/>
          <w:szCs w:val="21"/>
          <w:highlight w:val="none"/>
        </w:rPr>
        <w:t>份，乙方执</w:t>
      </w:r>
      <w:r>
        <w:rPr>
          <w:rFonts w:hint="eastAsia" w:ascii="宋体" w:hAnsi="宋体" w:cs="宋体"/>
          <w:szCs w:val="21"/>
          <w:highlight w:val="none"/>
          <w:u w:val="single"/>
        </w:rPr>
        <w:t>贰</w:t>
      </w:r>
      <w:r>
        <w:rPr>
          <w:rFonts w:hint="eastAsia" w:ascii="宋体" w:hAnsi="宋体" w:cs="宋体"/>
          <w:szCs w:val="21"/>
          <w:highlight w:val="none"/>
        </w:rPr>
        <w:t>份，具有同等的法律效力。</w:t>
      </w:r>
      <w:r>
        <w:rPr>
          <w:rFonts w:hint="eastAsia" w:ascii="宋体" w:hAnsi="宋体" w:cs="宋体"/>
          <w:color w:val="000000"/>
          <w:szCs w:val="21"/>
          <w:highlight w:val="none"/>
        </w:rPr>
        <w:t>自双方法定代表人或授权代表签字盖章后生效。本合同未尽事宜，由双方另行协商一致后签订书面补充协议。</w:t>
      </w:r>
    </w:p>
    <w:p w14:paraId="3D3420FA">
      <w:pPr>
        <w:spacing w:line="360" w:lineRule="auto"/>
        <w:ind w:firstLine="420" w:firstLineChars="200"/>
        <w:rPr>
          <w:rFonts w:hint="eastAsia" w:ascii="宋体" w:hAnsi="宋体" w:cs="宋体"/>
          <w:sz w:val="21"/>
          <w:szCs w:val="21"/>
          <w:highlight w:val="none"/>
        </w:rPr>
      </w:pPr>
    </w:p>
    <w:p w14:paraId="73A7507D">
      <w:pPr>
        <w:pStyle w:val="43"/>
        <w:rPr>
          <w:rFonts w:hint="eastAsia" w:ascii="宋体" w:hAnsi="宋体" w:cs="宋体"/>
          <w:szCs w:val="21"/>
          <w:highlight w:val="none"/>
        </w:rPr>
      </w:pPr>
    </w:p>
    <w:p w14:paraId="0A82451C">
      <w:pPr>
        <w:spacing w:line="360" w:lineRule="auto"/>
        <w:ind w:firstLine="420" w:firstLineChars="200"/>
        <w:rPr>
          <w:rFonts w:hint="eastAsia" w:ascii="宋体" w:hAnsi="宋体" w:cs="宋体"/>
          <w:b w:val="0"/>
          <w:bCs w:val="0"/>
          <w:color w:val="000000"/>
          <w:sz w:val="21"/>
          <w:szCs w:val="21"/>
          <w:highlight w:val="none"/>
        </w:rPr>
      </w:pPr>
      <w:r>
        <w:rPr>
          <w:rFonts w:hint="eastAsia" w:ascii="宋体" w:hAnsi="宋体" w:cs="宋体"/>
          <w:sz w:val="21"/>
          <w:szCs w:val="21"/>
          <w:highlight w:val="none"/>
        </w:rPr>
        <w:t>附件：1、</w:t>
      </w:r>
      <w:r>
        <w:rPr>
          <w:rFonts w:hint="eastAsia" w:ascii="宋体" w:hAnsi="宋体" w:cs="宋体"/>
          <w:color w:val="000000"/>
          <w:sz w:val="21"/>
          <w:szCs w:val="21"/>
          <w:highlight w:val="none"/>
          <w:lang w:val="en-US" w:eastAsia="zh-CN"/>
        </w:rPr>
        <w:t>《</w:t>
      </w:r>
      <w:r>
        <w:rPr>
          <w:rFonts w:hint="eastAsia" w:ascii="宋体" w:hAnsi="宋体" w:cs="宋体"/>
          <w:color w:val="000000"/>
          <w:sz w:val="21"/>
          <w:szCs w:val="21"/>
          <w:highlight w:val="none"/>
        </w:rPr>
        <w:t>专业分包商安全生产责任书</w:t>
      </w:r>
      <w:r>
        <w:rPr>
          <w:rFonts w:hint="eastAsia" w:ascii="宋体" w:hAnsi="宋体" w:cs="宋体"/>
          <w:color w:val="000000"/>
          <w:sz w:val="21"/>
          <w:szCs w:val="21"/>
          <w:highlight w:val="none"/>
          <w:lang w:val="en-US" w:eastAsia="zh-CN"/>
        </w:rPr>
        <w:t>》</w:t>
      </w:r>
    </w:p>
    <w:p w14:paraId="6EC220B1">
      <w:pPr>
        <w:spacing w:line="360" w:lineRule="auto"/>
        <w:ind w:firstLine="1050" w:firstLineChars="500"/>
        <w:rPr>
          <w:rFonts w:hint="eastAsia" w:ascii="宋体" w:hAnsi="宋体" w:cs="宋体"/>
          <w:szCs w:val="21"/>
          <w:highlight w:val="none"/>
        </w:rPr>
      </w:pPr>
      <w:r>
        <w:rPr>
          <w:rFonts w:hint="eastAsia" w:ascii="宋体" w:hAnsi="宋体" w:cs="宋体"/>
          <w:color w:val="000000"/>
          <w:sz w:val="21"/>
          <w:szCs w:val="21"/>
          <w:highlight w:val="none"/>
          <w:lang w:val="en-US" w:eastAsia="zh-CN"/>
        </w:rPr>
        <w:t>2、</w:t>
      </w:r>
      <w:r>
        <w:rPr>
          <w:rFonts w:hint="eastAsia" w:ascii="宋体" w:hAnsi="宋体" w:cs="宋体"/>
          <w:sz w:val="21"/>
          <w:szCs w:val="21"/>
          <w:highlight w:val="none"/>
        </w:rPr>
        <w:t>《供应商履约评价/末次评价打分表</w:t>
      </w:r>
      <w:r>
        <w:rPr>
          <w:rFonts w:hint="eastAsia" w:ascii="宋体" w:hAnsi="宋体" w:cs="宋体"/>
          <w:b w:val="0"/>
          <w:bCs w:val="0"/>
          <w:color w:val="000000"/>
          <w:sz w:val="21"/>
          <w:szCs w:val="21"/>
          <w:highlight w:val="none"/>
        </w:rPr>
        <w:t>》</w:t>
      </w:r>
    </w:p>
    <w:p w14:paraId="042B07B1">
      <w:pPr>
        <w:spacing w:line="360" w:lineRule="auto"/>
        <w:ind w:firstLine="1050" w:firstLineChars="500"/>
        <w:rPr>
          <w:rFonts w:hint="eastAsia" w:ascii="宋体" w:hAnsi="宋体" w:cs="宋体"/>
          <w:b w:val="0"/>
          <w:bCs w:val="0"/>
          <w:color w:val="000000"/>
          <w:sz w:val="21"/>
          <w:szCs w:val="21"/>
          <w:highlight w:val="none"/>
        </w:rPr>
      </w:pPr>
      <w:r>
        <w:rPr>
          <w:rFonts w:hint="eastAsia" w:ascii="宋体" w:hAnsi="宋体" w:cs="宋体"/>
          <w:sz w:val="21"/>
          <w:szCs w:val="21"/>
          <w:highlight w:val="none"/>
        </w:rPr>
        <w:t>3、</w:t>
      </w:r>
      <w:r>
        <w:rPr>
          <w:rFonts w:hint="eastAsia" w:ascii="宋体" w:hAnsi="宋体" w:cs="宋体"/>
          <w:b w:val="0"/>
          <w:bCs w:val="0"/>
          <w:color w:val="000000"/>
          <w:sz w:val="21"/>
          <w:szCs w:val="21"/>
          <w:highlight w:val="none"/>
        </w:rPr>
        <w:t>《交通安全设施专业分包采购清单》</w:t>
      </w:r>
    </w:p>
    <w:p w14:paraId="502387A5">
      <w:pPr>
        <w:spacing w:line="360" w:lineRule="auto"/>
        <w:ind w:firstLine="1050" w:firstLineChars="500"/>
        <w:rPr>
          <w:rFonts w:hint="eastAsia" w:ascii="宋体" w:hAnsi="宋体" w:cs="宋体"/>
          <w:b w:val="0"/>
          <w:bCs w:val="0"/>
          <w:color w:val="000000"/>
          <w:sz w:val="21"/>
          <w:szCs w:val="21"/>
          <w:highlight w:val="none"/>
        </w:rPr>
      </w:pPr>
    </w:p>
    <w:p w14:paraId="2B544A34">
      <w:pPr>
        <w:rPr>
          <w:color w:val="000000"/>
          <w:highlight w:val="none"/>
        </w:rPr>
      </w:pPr>
      <w:r>
        <w:rPr>
          <w:rFonts w:hint="eastAsia"/>
          <w:color w:val="000000"/>
          <w:highlight w:val="none"/>
        </w:rPr>
        <w:t>------------------------------------------本页以下为签章页</w:t>
      </w:r>
      <w:r>
        <w:rPr>
          <w:rFonts w:hint="eastAsia"/>
          <w:color w:val="000000"/>
          <w:highlight w:val="none"/>
          <w:lang w:eastAsia="zh-CN"/>
        </w:rPr>
        <w:t>，无</w:t>
      </w:r>
      <w:r>
        <w:rPr>
          <w:rFonts w:hint="eastAsia"/>
          <w:color w:val="000000"/>
          <w:highlight w:val="none"/>
        </w:rPr>
        <w:t>正文</w:t>
      </w:r>
      <w:r>
        <w:rPr>
          <w:rFonts w:hint="eastAsia"/>
          <w:color w:val="000000"/>
          <w:highlight w:val="none"/>
          <w:lang w:eastAsia="zh-CN"/>
        </w:rPr>
        <w:t>内容。</w:t>
      </w:r>
      <w:r>
        <w:rPr>
          <w:rFonts w:hint="eastAsia"/>
          <w:color w:val="000000"/>
          <w:highlight w:val="none"/>
        </w:rPr>
        <w:t>-----------------------------------------------</w:t>
      </w:r>
    </w:p>
    <w:p w14:paraId="4B5BCF09">
      <w:pPr>
        <w:spacing w:line="360" w:lineRule="auto"/>
        <w:ind w:firstLine="1050" w:firstLineChars="500"/>
        <w:rPr>
          <w:rFonts w:hint="eastAsia" w:ascii="宋体" w:hAnsi="宋体" w:cs="宋体"/>
          <w:b w:val="0"/>
          <w:bCs w:val="0"/>
          <w:color w:val="000000"/>
          <w:sz w:val="21"/>
          <w:szCs w:val="21"/>
          <w:highlight w:val="none"/>
        </w:rPr>
      </w:pPr>
    </w:p>
    <w:p w14:paraId="3301BF30">
      <w:pPr>
        <w:ind w:firstLine="420" w:firstLineChars="200"/>
        <w:rPr>
          <w:rFonts w:hint="eastAsia"/>
          <w:color w:val="000000"/>
          <w:highlight w:val="none"/>
        </w:rPr>
      </w:pPr>
    </w:p>
    <w:p w14:paraId="029550B3">
      <w:pPr>
        <w:ind w:firstLine="420" w:firstLineChars="200"/>
        <w:rPr>
          <w:rFonts w:hint="eastAsia"/>
          <w:color w:val="000000"/>
          <w:highlight w:val="none"/>
        </w:rPr>
      </w:pPr>
    </w:p>
    <w:tbl>
      <w:tblPr>
        <w:tblStyle w:val="44"/>
        <w:tblW w:w="8760" w:type="dxa"/>
        <w:jc w:val="center"/>
        <w:tblLayout w:type="fixed"/>
        <w:tblCellMar>
          <w:top w:w="0" w:type="dxa"/>
          <w:left w:w="108" w:type="dxa"/>
          <w:bottom w:w="0" w:type="dxa"/>
          <w:right w:w="108" w:type="dxa"/>
        </w:tblCellMar>
      </w:tblPr>
      <w:tblGrid>
        <w:gridCol w:w="4380"/>
        <w:gridCol w:w="4380"/>
      </w:tblGrid>
      <w:tr w14:paraId="2463E168">
        <w:tblPrEx>
          <w:tblCellMar>
            <w:top w:w="0" w:type="dxa"/>
            <w:left w:w="108" w:type="dxa"/>
            <w:bottom w:w="0" w:type="dxa"/>
            <w:right w:w="108" w:type="dxa"/>
          </w:tblCellMar>
        </w:tblPrEx>
        <w:trPr>
          <w:trHeight w:val="1746" w:hRule="atLeast"/>
          <w:jc w:val="center"/>
        </w:trPr>
        <w:tc>
          <w:tcPr>
            <w:tcW w:w="4380" w:type="dxa"/>
          </w:tcPr>
          <w:p w14:paraId="5E292363">
            <w:pPr>
              <w:pStyle w:val="38"/>
              <w:spacing w:line="360" w:lineRule="auto"/>
              <w:ind w:left="1440" w:hanging="1440" w:hangingChars="600"/>
              <w:rPr>
                <w:rFonts w:hint="eastAsia" w:ascii="ˎ̥" w:hAnsi="ˎ̥" w:eastAsia="宋体"/>
                <w:color w:val="000000"/>
                <w:highlight w:val="none"/>
                <w:lang w:eastAsia="zh-CN"/>
              </w:rPr>
            </w:pPr>
            <w:r>
              <w:rPr>
                <w:rFonts w:hint="eastAsia" w:ascii="ˎ̥" w:hAnsi="ˎ̥"/>
                <w:color w:val="000000"/>
                <w:highlight w:val="none"/>
              </w:rPr>
              <w:t>甲方：（公章）</w:t>
            </w:r>
          </w:p>
          <w:p w14:paraId="54C2F076">
            <w:pPr>
              <w:spacing w:line="360" w:lineRule="auto"/>
              <w:rPr>
                <w:rFonts w:hint="eastAsia" w:ascii="ˎ̥" w:hAnsi="ˎ̥" w:cs="宋体"/>
                <w:color w:val="000000"/>
                <w:kern w:val="0"/>
                <w:highlight w:val="none"/>
              </w:rPr>
            </w:pPr>
          </w:p>
        </w:tc>
        <w:tc>
          <w:tcPr>
            <w:tcW w:w="4380" w:type="dxa"/>
          </w:tcPr>
          <w:p w14:paraId="62616E71">
            <w:pPr>
              <w:spacing w:line="360" w:lineRule="auto"/>
              <w:ind w:left="1920" w:hanging="1920" w:hangingChars="800"/>
              <w:rPr>
                <w:rFonts w:hint="eastAsia" w:ascii="ˎ̥" w:hAnsi="ˎ̥" w:cs="宋体"/>
                <w:color w:val="000000"/>
                <w:kern w:val="0"/>
                <w:highlight w:val="none"/>
              </w:rPr>
            </w:pPr>
            <w:r>
              <w:rPr>
                <w:rFonts w:hint="eastAsia" w:ascii="ˎ̥" w:hAnsi="ˎ̥"/>
                <w:color w:val="000000"/>
                <w:sz w:val="24"/>
                <w:highlight w:val="none"/>
              </w:rPr>
              <w:t>乙方：（公章）</w:t>
            </w:r>
          </w:p>
        </w:tc>
      </w:tr>
      <w:tr w14:paraId="1182D399">
        <w:tblPrEx>
          <w:tblCellMar>
            <w:top w:w="0" w:type="dxa"/>
            <w:left w:w="108" w:type="dxa"/>
            <w:bottom w:w="0" w:type="dxa"/>
            <w:right w:w="108" w:type="dxa"/>
          </w:tblCellMar>
        </w:tblPrEx>
        <w:trPr>
          <w:trHeight w:val="1530" w:hRule="atLeast"/>
          <w:jc w:val="center"/>
        </w:trPr>
        <w:tc>
          <w:tcPr>
            <w:tcW w:w="4380" w:type="dxa"/>
          </w:tcPr>
          <w:p w14:paraId="687CB93E">
            <w:pPr>
              <w:pStyle w:val="38"/>
              <w:spacing w:line="360" w:lineRule="auto"/>
              <w:rPr>
                <w:rFonts w:hint="eastAsia" w:ascii="ˎ̥" w:hAnsi="ˎ̥"/>
                <w:color w:val="000000"/>
                <w:highlight w:val="none"/>
              </w:rPr>
            </w:pPr>
            <w:r>
              <w:rPr>
                <w:rFonts w:hint="eastAsia" w:ascii="ˎ̥" w:hAnsi="ˎ̥"/>
                <w:color w:val="000000"/>
                <w:highlight w:val="none"/>
              </w:rPr>
              <w:t>法定代表人或授权委托人：</w:t>
            </w:r>
          </w:p>
          <w:p w14:paraId="56850B41">
            <w:pPr>
              <w:pStyle w:val="38"/>
              <w:spacing w:line="360" w:lineRule="auto"/>
              <w:rPr>
                <w:rFonts w:hint="eastAsia" w:ascii="ˎ̥" w:hAnsi="ˎ̥"/>
                <w:color w:val="000000"/>
                <w:highlight w:val="none"/>
              </w:rPr>
            </w:pPr>
          </w:p>
          <w:p w14:paraId="5CF91CC7">
            <w:pPr>
              <w:pStyle w:val="38"/>
              <w:spacing w:line="360" w:lineRule="auto"/>
              <w:rPr>
                <w:rFonts w:hint="eastAsia" w:ascii="ˎ̥" w:hAnsi="ˎ̥"/>
                <w:color w:val="000000"/>
                <w:highlight w:val="none"/>
              </w:rPr>
            </w:pPr>
            <w:r>
              <w:rPr>
                <w:rFonts w:hint="eastAsia" w:ascii="ˎ̥" w:hAnsi="ˎ̥"/>
                <w:color w:val="000000"/>
                <w:highlight w:val="none"/>
              </w:rPr>
              <w:t>经办人：</w:t>
            </w:r>
          </w:p>
        </w:tc>
        <w:tc>
          <w:tcPr>
            <w:tcW w:w="4380" w:type="dxa"/>
          </w:tcPr>
          <w:p w14:paraId="6B92ACA7">
            <w:pPr>
              <w:pStyle w:val="38"/>
              <w:spacing w:line="360" w:lineRule="auto"/>
              <w:rPr>
                <w:rFonts w:hint="eastAsia" w:ascii="ˎ̥" w:hAnsi="ˎ̥"/>
                <w:color w:val="000000"/>
                <w:highlight w:val="none"/>
              </w:rPr>
            </w:pPr>
            <w:r>
              <w:rPr>
                <w:rFonts w:hint="eastAsia" w:ascii="ˎ̥" w:hAnsi="ˎ̥"/>
                <w:color w:val="000000"/>
                <w:highlight w:val="none"/>
              </w:rPr>
              <w:t>法定代表人或授权委托人：</w:t>
            </w:r>
          </w:p>
          <w:p w14:paraId="63EF7D2D">
            <w:pPr>
              <w:pStyle w:val="38"/>
              <w:spacing w:line="360" w:lineRule="auto"/>
              <w:rPr>
                <w:rFonts w:hint="eastAsia" w:ascii="ˎ̥" w:hAnsi="ˎ̥"/>
                <w:color w:val="000000"/>
                <w:highlight w:val="none"/>
              </w:rPr>
            </w:pPr>
          </w:p>
          <w:p w14:paraId="4872169C">
            <w:pPr>
              <w:pStyle w:val="38"/>
              <w:spacing w:line="360" w:lineRule="auto"/>
              <w:rPr>
                <w:rFonts w:hint="eastAsia" w:ascii="ˎ̥" w:hAnsi="ˎ̥"/>
                <w:color w:val="000000"/>
                <w:highlight w:val="none"/>
              </w:rPr>
            </w:pPr>
            <w:r>
              <w:rPr>
                <w:rFonts w:hint="eastAsia" w:ascii="ˎ̥" w:hAnsi="ˎ̥"/>
                <w:color w:val="000000"/>
                <w:highlight w:val="none"/>
              </w:rPr>
              <w:t>经办人：</w:t>
            </w:r>
          </w:p>
        </w:tc>
      </w:tr>
    </w:tbl>
    <w:p w14:paraId="590F9F89">
      <w:pPr>
        <w:rPr>
          <w:rFonts w:cs="仿宋_GB2312"/>
          <w:color w:val="000000"/>
          <w:highlight w:val="none"/>
        </w:rPr>
      </w:pPr>
    </w:p>
    <w:p w14:paraId="1C73F779">
      <w:pPr>
        <w:pStyle w:val="38"/>
        <w:spacing w:line="360" w:lineRule="auto"/>
        <w:jc w:val="center"/>
        <w:rPr>
          <w:rFonts w:cs="仿宋_GB2312"/>
          <w:color w:val="000000"/>
          <w:highlight w:val="none"/>
        </w:rPr>
      </w:pPr>
      <w:r>
        <w:rPr>
          <w:rFonts w:hint="eastAsia" w:ascii="ˎ̥" w:hAnsi="ˎ̥"/>
          <w:color w:val="000000"/>
          <w:highlight w:val="none"/>
        </w:rPr>
        <w:t>合同订立时间：</w:t>
      </w:r>
      <w:r>
        <w:rPr>
          <w:rFonts w:hint="eastAsia" w:ascii="ˎ̥" w:hAnsi="ˎ̥"/>
          <w:color w:val="000000"/>
          <w:highlight w:val="none"/>
          <w:lang w:val="en-US" w:eastAsia="zh-CN"/>
        </w:rPr>
        <w:t xml:space="preserve">    </w:t>
      </w:r>
      <w:r>
        <w:rPr>
          <w:rFonts w:hint="eastAsia" w:ascii="ˎ̥" w:hAnsi="ˎ̥"/>
          <w:color w:val="000000"/>
          <w:highlight w:val="none"/>
        </w:rPr>
        <w:t>年</w:t>
      </w:r>
      <w:r>
        <w:rPr>
          <w:rFonts w:hint="eastAsia" w:ascii="ˎ̥" w:hAnsi="ˎ̥"/>
          <w:color w:val="000000"/>
          <w:highlight w:val="none"/>
          <w:lang w:val="en-US" w:eastAsia="zh-CN"/>
        </w:rPr>
        <w:t xml:space="preserve">    </w:t>
      </w:r>
      <w:r>
        <w:rPr>
          <w:rFonts w:hint="eastAsia" w:ascii="ˎ̥" w:hAnsi="ˎ̥"/>
          <w:color w:val="000000"/>
          <w:highlight w:val="none"/>
        </w:rPr>
        <w:t>月</w:t>
      </w:r>
      <w:r>
        <w:rPr>
          <w:rFonts w:hint="eastAsia" w:ascii="ˎ̥" w:hAnsi="ˎ̥"/>
          <w:color w:val="000000"/>
          <w:highlight w:val="none"/>
          <w:lang w:val="en-US" w:eastAsia="zh-CN"/>
        </w:rPr>
        <w:t xml:space="preserve">   </w:t>
      </w:r>
      <w:r>
        <w:rPr>
          <w:rFonts w:hint="eastAsia" w:ascii="ˎ̥" w:hAnsi="ˎ̥"/>
          <w:color w:val="000000"/>
          <w:highlight w:val="none"/>
        </w:rPr>
        <w:t>日</w:t>
      </w:r>
    </w:p>
    <w:p w14:paraId="4E4B451A">
      <w:pPr>
        <w:rPr>
          <w:rFonts w:cs="仿宋_GB2312"/>
          <w:color w:val="000000"/>
          <w:highlight w:val="none"/>
        </w:rPr>
      </w:pPr>
    </w:p>
    <w:p w14:paraId="012630BB">
      <w:pPr>
        <w:ind w:firstLine="420" w:firstLineChars="200"/>
        <w:rPr>
          <w:color w:val="000000"/>
          <w:highlight w:val="none"/>
        </w:rPr>
      </w:pPr>
      <w:r>
        <w:rPr>
          <w:color w:val="000000"/>
          <w:highlight w:val="none"/>
        </w:rPr>
        <w:br w:type="page"/>
      </w:r>
    </w:p>
    <w:p w14:paraId="09A6D27D">
      <w:pPr>
        <w:rPr>
          <w:color w:val="000000"/>
          <w:highlight w:val="none"/>
        </w:rPr>
      </w:pPr>
      <w:r>
        <w:rPr>
          <w:rFonts w:hint="eastAsia"/>
          <w:color w:val="000000"/>
          <w:highlight w:val="none"/>
        </w:rPr>
        <w:t>附件</w:t>
      </w:r>
      <w:r>
        <w:rPr>
          <w:rFonts w:hint="eastAsia"/>
          <w:color w:val="000000"/>
          <w:highlight w:val="none"/>
          <w:lang w:val="en-US" w:eastAsia="zh-CN"/>
        </w:rPr>
        <w:t>1</w:t>
      </w:r>
      <w:r>
        <w:rPr>
          <w:rFonts w:hint="eastAsia"/>
          <w:color w:val="000000"/>
          <w:highlight w:val="none"/>
        </w:rPr>
        <w:t>：</w:t>
      </w:r>
    </w:p>
    <w:p w14:paraId="69071B25">
      <w:pPr>
        <w:ind w:firstLine="880"/>
        <w:jc w:val="center"/>
        <w:rPr>
          <w:color w:val="000000"/>
          <w:sz w:val="44"/>
          <w:szCs w:val="44"/>
          <w:highlight w:val="none"/>
        </w:rPr>
      </w:pPr>
      <w:r>
        <w:rPr>
          <w:rFonts w:hint="eastAsia"/>
          <w:color w:val="000000"/>
          <w:sz w:val="44"/>
          <w:szCs w:val="44"/>
          <w:highlight w:val="none"/>
        </w:rPr>
        <w:t>专业分包商安全生产责任书</w:t>
      </w:r>
    </w:p>
    <w:p w14:paraId="6D0096E2">
      <w:pPr>
        <w:rPr>
          <w:color w:val="000000"/>
          <w:highlight w:val="none"/>
        </w:rPr>
      </w:pPr>
    </w:p>
    <w:p w14:paraId="0E90C4B7">
      <w:pPr>
        <w:spacing w:line="360" w:lineRule="auto"/>
        <w:ind w:firstLine="420" w:firstLineChars="200"/>
        <w:rPr>
          <w:rFonts w:hint="eastAsia" w:eastAsia="宋体"/>
          <w:color w:val="000000"/>
          <w:highlight w:val="none"/>
          <w:lang w:eastAsia="zh-CN"/>
        </w:rPr>
      </w:pPr>
      <w:r>
        <w:rPr>
          <w:rFonts w:hint="eastAsia"/>
          <w:color w:val="000000"/>
          <w:highlight w:val="none"/>
        </w:rPr>
        <w:t>甲方：</w:t>
      </w:r>
    </w:p>
    <w:p w14:paraId="57728D5D">
      <w:pPr>
        <w:spacing w:line="360" w:lineRule="auto"/>
        <w:ind w:firstLine="420" w:firstLineChars="200"/>
        <w:rPr>
          <w:rFonts w:hint="eastAsia" w:ascii="宋体" w:hAnsi="宋体" w:cs="宋体"/>
          <w:color w:val="000000"/>
          <w:szCs w:val="21"/>
          <w:highlight w:val="none"/>
          <w:lang w:eastAsia="zh-CN"/>
        </w:rPr>
      </w:pPr>
      <w:r>
        <w:rPr>
          <w:rFonts w:hint="eastAsia"/>
          <w:color w:val="000000"/>
          <w:highlight w:val="none"/>
        </w:rPr>
        <w:t>乙方：</w:t>
      </w:r>
    </w:p>
    <w:p w14:paraId="460977C3">
      <w:pPr>
        <w:spacing w:line="360" w:lineRule="auto"/>
        <w:ind w:firstLine="420" w:firstLineChars="200"/>
        <w:rPr>
          <w:color w:val="000000"/>
          <w:highlight w:val="none"/>
        </w:rPr>
      </w:pPr>
      <w:r>
        <w:rPr>
          <w:rFonts w:hint="eastAsia"/>
          <w:color w:val="000000"/>
          <w:highlight w:val="none"/>
        </w:rPr>
        <w:t>为切实贯彻落实“安全第一、预防为主、综合治理”的安全生产方针，进一步规范公司对外合作单位管理，保障作业人员的人身安全，明确作业过程中甲乙双方各自的安全责任，根据国家有关法律、法规、经甲乙双方协商，特签订本安全责任书：　　</w:t>
      </w:r>
    </w:p>
    <w:p w14:paraId="0A5BD055">
      <w:pPr>
        <w:spacing w:line="360" w:lineRule="auto"/>
        <w:ind w:firstLine="422" w:firstLineChars="200"/>
        <w:rPr>
          <w:b/>
          <w:color w:val="000000"/>
          <w:highlight w:val="none"/>
          <w:u w:val="single"/>
        </w:rPr>
      </w:pPr>
      <w:r>
        <w:rPr>
          <w:rFonts w:hint="eastAsia"/>
          <w:b/>
          <w:color w:val="000000"/>
          <w:highlight w:val="none"/>
        </w:rPr>
        <w:t>一、工作概况</w:t>
      </w:r>
    </w:p>
    <w:p w14:paraId="177BB01B">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1.分包项目名称：</w:t>
      </w:r>
      <w:r>
        <w:rPr>
          <w:rFonts w:hint="eastAsia" w:ascii="宋体" w:hAnsi="宋体" w:cs="宋体"/>
          <w:color w:val="000000"/>
          <w:szCs w:val="21"/>
          <w:highlight w:val="none"/>
          <w:lang w:eastAsia="zh-CN"/>
        </w:rPr>
        <w:t>2025-2026年日常养护项目交通安全设施专业分包采购</w:t>
      </w:r>
      <w:r>
        <w:rPr>
          <w:rFonts w:hint="eastAsia" w:ascii="宋体" w:hAnsi="宋体" w:cs="宋体"/>
          <w:color w:val="000000"/>
          <w:szCs w:val="21"/>
          <w:highlight w:val="none"/>
        </w:rPr>
        <w:t>。</w:t>
      </w:r>
    </w:p>
    <w:p w14:paraId="37DD3D27">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2.分包项目地点：</w:t>
      </w:r>
      <w:r>
        <w:rPr>
          <w:rFonts w:hint="eastAsia" w:ascii="宋体" w:hAnsi="宋体" w:cs="宋体"/>
          <w:color w:val="000000"/>
          <w:szCs w:val="21"/>
          <w:highlight w:val="none"/>
          <w:lang w:eastAsia="zh-CN"/>
        </w:rPr>
        <w:t>深圳市</w:t>
      </w:r>
      <w:r>
        <w:rPr>
          <w:rFonts w:hint="eastAsia" w:ascii="宋体" w:hAnsi="宋体" w:cs="宋体"/>
          <w:color w:val="000000"/>
          <w:szCs w:val="21"/>
          <w:highlight w:val="none"/>
        </w:rPr>
        <w:t>。</w:t>
      </w:r>
    </w:p>
    <w:p w14:paraId="1690A62A">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3.本合同期限为：</w:t>
      </w:r>
      <w:r>
        <w:rPr>
          <w:rFonts w:hint="eastAsia" w:ascii="宋体" w:hAnsi="宋体" w:cs="宋体"/>
          <w:bCs w:val="0"/>
          <w:color w:val="000000"/>
          <w:sz w:val="21"/>
          <w:szCs w:val="21"/>
          <w:highlight w:val="none"/>
          <w:u w:val="none"/>
        </w:rPr>
        <w:t>自合同签订之日起</w:t>
      </w:r>
      <w:r>
        <w:rPr>
          <w:rFonts w:hint="eastAsia" w:ascii="宋体" w:hAnsi="宋体" w:cs="宋体"/>
          <w:bCs w:val="0"/>
          <w:color w:val="000000"/>
          <w:szCs w:val="21"/>
          <w:highlight w:val="none"/>
          <w:lang w:val="en-US" w:eastAsia="zh-CN"/>
        </w:rPr>
        <w:t>一年</w:t>
      </w:r>
      <w:r>
        <w:rPr>
          <w:rFonts w:hint="eastAsia" w:ascii="宋体" w:hAnsi="宋体" w:cs="宋体"/>
          <w:bCs w:val="0"/>
          <w:color w:val="000000"/>
          <w:szCs w:val="21"/>
          <w:highlight w:val="none"/>
        </w:rPr>
        <w:t>。</w:t>
      </w:r>
    </w:p>
    <w:p w14:paraId="5E964C3A">
      <w:pPr>
        <w:spacing w:line="360" w:lineRule="auto"/>
        <w:ind w:firstLine="420" w:firstLineChars="200"/>
        <w:rPr>
          <w:color w:val="000000"/>
          <w:highlight w:val="none"/>
        </w:rPr>
      </w:pPr>
      <w:r>
        <w:rPr>
          <w:rFonts w:hint="eastAsia" w:ascii="宋体" w:hAnsi="宋体" w:eastAsia="宋体" w:cs="宋体"/>
          <w:bCs w:val="0"/>
          <w:color w:val="000000"/>
          <w:kern w:val="2"/>
          <w:sz w:val="21"/>
          <w:szCs w:val="21"/>
          <w:highlight w:val="none"/>
          <w:lang w:val="en-US" w:eastAsia="zh-CN" w:bidi="ar-SA"/>
        </w:rPr>
        <w:t>本项目采用“招一管二”模式(本项目的合同履行截止日期最长不超过2026年12月31日)，合同一年一签。第一年为本项目的合同期限，第一年合同期限满后，招标人根据业主单位是否续签日常养护合同情况及中标人的合同履约情况确定是否续签合同，招标人决定续签的，中标人无约定事由，不得拒绝续签合同。</w:t>
      </w:r>
      <w:r>
        <w:rPr>
          <w:rFonts w:hint="eastAsia"/>
          <w:color w:val="000000"/>
          <w:highlight w:val="none"/>
        </w:rPr>
        <w:t xml:space="preserve"> </w:t>
      </w:r>
    </w:p>
    <w:p w14:paraId="19BD7A17">
      <w:pPr>
        <w:spacing w:line="360" w:lineRule="auto"/>
        <w:ind w:firstLine="420" w:firstLineChars="200"/>
        <w:rPr>
          <w:color w:val="000000"/>
          <w:highlight w:val="none"/>
        </w:rPr>
      </w:pPr>
      <w:r>
        <w:rPr>
          <w:rFonts w:hint="eastAsia"/>
          <w:color w:val="000000"/>
          <w:highlight w:val="none"/>
        </w:rPr>
        <w:t>合同期内甲、乙双方应当依据合同及本协议约定，享有各自权利、承担各自义务。</w:t>
      </w:r>
    </w:p>
    <w:p w14:paraId="26238A05">
      <w:pPr>
        <w:spacing w:line="360" w:lineRule="auto"/>
        <w:ind w:firstLine="422" w:firstLineChars="200"/>
        <w:rPr>
          <w:b/>
          <w:color w:val="000000"/>
          <w:highlight w:val="none"/>
        </w:rPr>
      </w:pPr>
      <w:r>
        <w:rPr>
          <w:rFonts w:hint="eastAsia"/>
          <w:b/>
          <w:color w:val="000000"/>
          <w:highlight w:val="none"/>
        </w:rPr>
        <w:t>二、双方应当遵循的基本原则</w:t>
      </w:r>
    </w:p>
    <w:p w14:paraId="459250AE">
      <w:pPr>
        <w:spacing w:line="360" w:lineRule="auto"/>
        <w:ind w:firstLine="420" w:firstLineChars="200"/>
        <w:rPr>
          <w:color w:val="000000"/>
          <w:highlight w:val="none"/>
        </w:rPr>
      </w:pPr>
      <w:r>
        <w:rPr>
          <w:rFonts w:hint="eastAsia"/>
          <w:color w:val="000000"/>
          <w:highlight w:val="none"/>
        </w:rPr>
        <w:t>1.双方安全生产监督管理人员应当坚持原则、忠于职守，严格按本协议的约定履行各自的权利、义务。</w:t>
      </w:r>
    </w:p>
    <w:p w14:paraId="688FD973">
      <w:pPr>
        <w:spacing w:line="360" w:lineRule="auto"/>
        <w:ind w:firstLine="420" w:firstLineChars="200"/>
        <w:rPr>
          <w:color w:val="000000"/>
          <w:highlight w:val="none"/>
        </w:rPr>
      </w:pPr>
      <w:r>
        <w:rPr>
          <w:rFonts w:hint="eastAsia"/>
          <w:color w:val="000000"/>
          <w:highlight w:val="none"/>
        </w:rPr>
        <w:t>2.双方共同遵守国家和本市有关安全生产的法律、法规和规定，认真执行国家、行业、企业安全技术标准。</w:t>
      </w:r>
    </w:p>
    <w:p w14:paraId="314644ED">
      <w:pPr>
        <w:spacing w:line="360" w:lineRule="auto"/>
        <w:ind w:firstLine="420" w:firstLineChars="200"/>
        <w:rPr>
          <w:color w:val="000000"/>
          <w:highlight w:val="none"/>
        </w:rPr>
      </w:pPr>
      <w:r>
        <w:rPr>
          <w:rFonts w:hint="eastAsia"/>
          <w:color w:val="000000"/>
          <w:highlight w:val="none"/>
        </w:rPr>
        <w:t>3.坚持“安全第一、预防为主、综合治理”的方针，不得违章指挥和违章作业。在组织施工生产时先落实安全保护措施，防止事故发生。</w:t>
      </w:r>
    </w:p>
    <w:p w14:paraId="6C9F88E6">
      <w:pPr>
        <w:spacing w:line="360" w:lineRule="auto"/>
        <w:ind w:firstLine="420" w:firstLineChars="200"/>
        <w:rPr>
          <w:color w:val="000000"/>
          <w:highlight w:val="none"/>
        </w:rPr>
      </w:pPr>
      <w:r>
        <w:rPr>
          <w:rFonts w:hint="eastAsia"/>
          <w:color w:val="000000"/>
          <w:highlight w:val="none"/>
        </w:rPr>
        <w:t>4.抓好安全教育，严肃安全纪律，规范安全行为，净化作业环境，禁止野蛮施工，做好文明施工。</w:t>
      </w:r>
    </w:p>
    <w:p w14:paraId="3F24F140">
      <w:pPr>
        <w:spacing w:line="360" w:lineRule="auto"/>
        <w:ind w:firstLine="420" w:firstLineChars="200"/>
        <w:rPr>
          <w:color w:val="000000"/>
          <w:highlight w:val="none"/>
        </w:rPr>
      </w:pPr>
      <w:r>
        <w:rPr>
          <w:rFonts w:hint="eastAsia"/>
          <w:color w:val="000000"/>
          <w:highlight w:val="none"/>
        </w:rPr>
        <w:t>5.发生事故立即采取措施保护现场，抢救伤员，防止事故扩大，并应分别及时报告上级主管部门组织事故调查小组，查清事故原因，确定事故责任，按照“四不放过”原则拟定改进措施，提出对事故责任者的处理意见</w:t>
      </w:r>
    </w:p>
    <w:p w14:paraId="13EB04C0">
      <w:pPr>
        <w:spacing w:line="360" w:lineRule="auto"/>
        <w:ind w:firstLine="422" w:firstLineChars="200"/>
        <w:rPr>
          <w:b/>
          <w:color w:val="000000"/>
          <w:highlight w:val="none"/>
        </w:rPr>
      </w:pPr>
      <w:r>
        <w:rPr>
          <w:rFonts w:hint="eastAsia"/>
          <w:b/>
          <w:color w:val="000000"/>
          <w:highlight w:val="none"/>
        </w:rPr>
        <w:t>三、 甲方的权利、义务</w:t>
      </w:r>
    </w:p>
    <w:p w14:paraId="3CBDA18F">
      <w:pPr>
        <w:spacing w:line="360" w:lineRule="auto"/>
        <w:ind w:firstLine="420" w:firstLineChars="200"/>
        <w:rPr>
          <w:color w:val="000000"/>
          <w:highlight w:val="none"/>
        </w:rPr>
      </w:pPr>
      <w:r>
        <w:rPr>
          <w:rFonts w:hint="eastAsia"/>
          <w:color w:val="000000"/>
          <w:highlight w:val="none"/>
        </w:rPr>
        <w:t>1.乙方人员进入施工现场之前，甲方应以书面形式告知乙方本单位相关安全管理规章制度。</w:t>
      </w:r>
    </w:p>
    <w:p w14:paraId="68FB4997">
      <w:pPr>
        <w:spacing w:line="360" w:lineRule="auto"/>
        <w:ind w:firstLine="420" w:firstLineChars="200"/>
        <w:rPr>
          <w:color w:val="000000"/>
          <w:highlight w:val="none"/>
        </w:rPr>
      </w:pPr>
      <w:r>
        <w:rPr>
          <w:rFonts w:hint="eastAsia"/>
          <w:color w:val="000000"/>
          <w:highlight w:val="none"/>
        </w:rPr>
        <w:t>2.甲方本项目生产管理部门为甲方安全生产责任的职能管理部门，负责对乙方施工、检修、劳务、送料等作业过程中的安全管理工作进行监督检查。</w:t>
      </w:r>
    </w:p>
    <w:p w14:paraId="657CFDAB">
      <w:pPr>
        <w:spacing w:line="360" w:lineRule="auto"/>
        <w:ind w:firstLine="420" w:firstLineChars="200"/>
        <w:rPr>
          <w:color w:val="000000"/>
          <w:highlight w:val="none"/>
        </w:rPr>
      </w:pPr>
      <w:r>
        <w:rPr>
          <w:rFonts w:hint="eastAsia"/>
          <w:color w:val="000000"/>
          <w:highlight w:val="none"/>
        </w:rPr>
        <w:t>3.甲方针对乙方行为所作出的安全检查，必须有书面记录。并且，甲方必须将检查情况向乙方通报。</w:t>
      </w:r>
    </w:p>
    <w:p w14:paraId="1BC2F353">
      <w:pPr>
        <w:spacing w:line="360" w:lineRule="auto"/>
        <w:ind w:firstLine="420" w:firstLineChars="200"/>
        <w:rPr>
          <w:color w:val="000000"/>
          <w:highlight w:val="none"/>
        </w:rPr>
      </w:pPr>
      <w:r>
        <w:rPr>
          <w:rFonts w:hint="eastAsia"/>
          <w:color w:val="000000"/>
          <w:highlight w:val="none"/>
        </w:rPr>
        <w:t>4.甲方对乙方进行安全检查时，有权向乙方询问有关安全措施落实情况，调阅有关安全措施资料，指导或提出安检意见和建议。</w:t>
      </w:r>
    </w:p>
    <w:p w14:paraId="0A2217BE">
      <w:pPr>
        <w:spacing w:line="360" w:lineRule="auto"/>
        <w:ind w:firstLine="420" w:firstLineChars="200"/>
        <w:rPr>
          <w:color w:val="000000"/>
          <w:highlight w:val="none"/>
        </w:rPr>
      </w:pPr>
      <w:r>
        <w:rPr>
          <w:rFonts w:hint="eastAsia"/>
          <w:color w:val="000000"/>
          <w:highlight w:val="none"/>
        </w:rPr>
        <w:t>5.甲方对乙方工作中存在的重大安全隐患，有权责令乙方立即整改、排除。否则有权单方终止与乙方之间的相关经济业务合同的履行。</w:t>
      </w:r>
    </w:p>
    <w:p w14:paraId="6F02B9EF">
      <w:pPr>
        <w:spacing w:line="360" w:lineRule="auto"/>
        <w:ind w:firstLine="420" w:firstLineChars="200"/>
        <w:rPr>
          <w:color w:val="000000"/>
          <w:highlight w:val="none"/>
        </w:rPr>
      </w:pPr>
      <w:r>
        <w:rPr>
          <w:rFonts w:hint="eastAsia"/>
          <w:color w:val="000000"/>
          <w:highlight w:val="none"/>
        </w:rPr>
        <w:t>6.甲方应当为乙方提供安全、规范的施工、检修、劳务、送料作业现场围挡示意图。</w:t>
      </w:r>
    </w:p>
    <w:p w14:paraId="2344C119">
      <w:pPr>
        <w:spacing w:line="360" w:lineRule="auto"/>
        <w:ind w:firstLine="420" w:firstLineChars="200"/>
        <w:rPr>
          <w:color w:val="000000"/>
          <w:highlight w:val="none"/>
        </w:rPr>
      </w:pPr>
      <w:r>
        <w:rPr>
          <w:rFonts w:hint="eastAsia"/>
          <w:color w:val="000000"/>
          <w:highlight w:val="none"/>
        </w:rPr>
        <w:t>7.确定乙方进行具体安检工作的机构和责任人，建立完备、规范的安检记录档案，对从事高危行业工作的人员必须审核其是否具备国家认可的相关资质。</w:t>
      </w:r>
    </w:p>
    <w:p w14:paraId="43328C5D">
      <w:pPr>
        <w:spacing w:line="360" w:lineRule="auto"/>
        <w:ind w:firstLine="422" w:firstLineChars="200"/>
        <w:rPr>
          <w:b/>
          <w:color w:val="000000"/>
          <w:highlight w:val="none"/>
        </w:rPr>
      </w:pPr>
      <w:r>
        <w:rPr>
          <w:rFonts w:hint="eastAsia"/>
          <w:b/>
          <w:color w:val="000000"/>
          <w:highlight w:val="none"/>
        </w:rPr>
        <w:t>四、 乙方的权利、义务</w:t>
      </w:r>
    </w:p>
    <w:p w14:paraId="7BD98D16">
      <w:pPr>
        <w:spacing w:line="360" w:lineRule="auto"/>
        <w:ind w:firstLine="420" w:firstLineChars="200"/>
        <w:rPr>
          <w:color w:val="000000"/>
          <w:highlight w:val="none"/>
        </w:rPr>
      </w:pPr>
      <w:r>
        <w:rPr>
          <w:rFonts w:hint="eastAsia"/>
          <w:color w:val="000000"/>
          <w:highlight w:val="none"/>
        </w:rPr>
        <w:t>1.乙方严禁将承包的工程、部分工程、材料订单转包或者违法分包。否则所发生安全事故，由乙方承担全部安全生产责任。</w:t>
      </w:r>
    </w:p>
    <w:p w14:paraId="52379D9F">
      <w:pPr>
        <w:spacing w:line="360" w:lineRule="auto"/>
        <w:ind w:firstLine="420" w:firstLineChars="200"/>
        <w:rPr>
          <w:color w:val="000000"/>
          <w:highlight w:val="none"/>
        </w:rPr>
      </w:pPr>
      <w:r>
        <w:rPr>
          <w:rFonts w:hint="eastAsia"/>
          <w:color w:val="000000"/>
          <w:highlight w:val="none"/>
        </w:rPr>
        <w:t>2.乙方人员应当遵守甲方规章制度，接受甲方安全检查、监督，对违反甲方有关安全管理制度及规定的行为，甲方有权责令乙方立即停止并给予考核。</w:t>
      </w:r>
    </w:p>
    <w:p w14:paraId="7E18146B">
      <w:pPr>
        <w:spacing w:line="360" w:lineRule="auto"/>
        <w:ind w:firstLine="420" w:firstLineChars="200"/>
        <w:rPr>
          <w:color w:val="000000"/>
          <w:highlight w:val="none"/>
        </w:rPr>
      </w:pPr>
      <w:r>
        <w:rPr>
          <w:rFonts w:hint="eastAsia"/>
          <w:color w:val="000000"/>
          <w:highlight w:val="none"/>
        </w:rPr>
        <w:t>3.乙方应具有安全管理组织体制（涉及特种作业的项目乙方必须出具有效的资质证书），在甲方施工、检修、劳务、送料等现场作业期间，乙方应指派专（兼）职安全人员 ，全面负责项目的现场安全工作。</w:t>
      </w:r>
    </w:p>
    <w:p w14:paraId="593C4CA1">
      <w:pPr>
        <w:spacing w:line="360" w:lineRule="auto"/>
        <w:ind w:firstLine="420" w:firstLineChars="200"/>
        <w:rPr>
          <w:color w:val="000000"/>
          <w:highlight w:val="none"/>
        </w:rPr>
      </w:pPr>
      <w:r>
        <w:rPr>
          <w:rFonts w:hint="eastAsia"/>
          <w:color w:val="000000"/>
          <w:highlight w:val="none"/>
        </w:rPr>
        <w:t>5.乙方人员进入甲方施工现场前，接受安全教育，严禁三无人员进入甲方工作区域，乙方人员必须按在甲方登记备案的名册人员进入作业区域，未经甲方认可不得擅自更换，否则所发生安全事故，由乙方承担全部安全生产责任。</w:t>
      </w:r>
    </w:p>
    <w:p w14:paraId="2D72FDFF">
      <w:pPr>
        <w:spacing w:line="360" w:lineRule="auto"/>
        <w:ind w:firstLine="420" w:firstLineChars="200"/>
        <w:rPr>
          <w:color w:val="000000"/>
          <w:highlight w:val="none"/>
        </w:rPr>
      </w:pPr>
      <w:r>
        <w:rPr>
          <w:rFonts w:hint="eastAsia"/>
          <w:color w:val="000000"/>
          <w:highlight w:val="none"/>
        </w:rPr>
        <w:t>6.乙方各类作业人员必须具有相应的安全技术素质，特种作业人员必须持有有效的特种作业操作证方准上岗，所使用的特种作业设备必须取得有效的特种作业设备强制安全检验合格证，方准现场使用，并将相关资质证书复印件提交到甲方备案。</w:t>
      </w:r>
    </w:p>
    <w:p w14:paraId="183F30B8">
      <w:pPr>
        <w:spacing w:line="360" w:lineRule="auto"/>
        <w:ind w:firstLine="420" w:firstLineChars="200"/>
        <w:rPr>
          <w:color w:val="000000"/>
          <w:highlight w:val="none"/>
        </w:rPr>
      </w:pPr>
      <w:r>
        <w:rPr>
          <w:rFonts w:hint="eastAsia"/>
          <w:color w:val="000000"/>
          <w:highlight w:val="none"/>
        </w:rPr>
        <w:t>7.乙方人员在作业期间应当接受甲方的安全监督检查，经查证发现的安全隐患，乙方必须立即采取有效措施予以整改或纠正，否则甲方有权现场勒令停工。</w:t>
      </w:r>
    </w:p>
    <w:p w14:paraId="0282F381">
      <w:pPr>
        <w:spacing w:line="360" w:lineRule="auto"/>
        <w:ind w:firstLine="420" w:firstLineChars="200"/>
        <w:rPr>
          <w:color w:val="000000"/>
          <w:highlight w:val="none"/>
        </w:rPr>
      </w:pPr>
      <w:r>
        <w:rPr>
          <w:rFonts w:hint="eastAsia"/>
          <w:color w:val="000000"/>
          <w:highlight w:val="none"/>
        </w:rPr>
        <w:t>8.乙方人员在甲方作业期间，必须按工种需要正确穿戴好劳保防护用品，同时应严格遵守甲方各项安全生产管理制度。　　</w:t>
      </w:r>
    </w:p>
    <w:p w14:paraId="0D59FA32">
      <w:pPr>
        <w:spacing w:line="360" w:lineRule="auto"/>
        <w:ind w:firstLine="420" w:firstLineChars="200"/>
        <w:rPr>
          <w:color w:val="000000"/>
          <w:highlight w:val="none"/>
        </w:rPr>
      </w:pPr>
      <w:r>
        <w:rPr>
          <w:rFonts w:hint="eastAsia"/>
          <w:color w:val="000000"/>
          <w:highlight w:val="none"/>
        </w:rPr>
        <w:t>9.乙方管理人员在员工作业前应先熟悉现场，并对所处区域的作业环境可能存在的危险因素、预防措施给员工进行交底，同时对使用的设施设备等，负有认真检查和确认的义务，严禁设施、设备等带病作业，否则因此而产生的一切法律后果，由乙方承担。　　</w:t>
      </w:r>
    </w:p>
    <w:p w14:paraId="1DBB6C6F">
      <w:pPr>
        <w:spacing w:line="360" w:lineRule="auto"/>
        <w:ind w:firstLine="420" w:firstLineChars="200"/>
        <w:rPr>
          <w:b/>
          <w:color w:val="000000"/>
          <w:highlight w:val="none"/>
        </w:rPr>
      </w:pPr>
      <w:r>
        <w:rPr>
          <w:rFonts w:hint="eastAsia"/>
          <w:color w:val="000000"/>
          <w:highlight w:val="none"/>
        </w:rPr>
        <w:t>10.乙方人员在施工期间发生的伤害事故由乙方负全部责任，与甲方无关。</w:t>
      </w:r>
    </w:p>
    <w:p w14:paraId="3310CC32">
      <w:pPr>
        <w:spacing w:line="360" w:lineRule="auto"/>
        <w:ind w:firstLine="422" w:firstLineChars="200"/>
        <w:rPr>
          <w:b/>
          <w:color w:val="000000"/>
          <w:highlight w:val="none"/>
        </w:rPr>
      </w:pPr>
      <w:r>
        <w:rPr>
          <w:rFonts w:hint="eastAsia"/>
          <w:b/>
          <w:color w:val="000000"/>
          <w:highlight w:val="none"/>
        </w:rPr>
        <w:t>五、事故处理</w:t>
      </w:r>
    </w:p>
    <w:p w14:paraId="6BB243B2">
      <w:pPr>
        <w:spacing w:line="360" w:lineRule="auto"/>
        <w:ind w:firstLine="420" w:firstLineChars="200"/>
        <w:rPr>
          <w:color w:val="000000"/>
          <w:highlight w:val="none"/>
        </w:rPr>
      </w:pPr>
      <w:r>
        <w:rPr>
          <w:rFonts w:hint="eastAsia"/>
          <w:color w:val="000000"/>
          <w:highlight w:val="none"/>
        </w:rPr>
        <w:t>1.发生伤亡及其他安全事故的，乙方应按有关规定立即上报有关部门并报告甲方。</w:t>
      </w:r>
    </w:p>
    <w:p w14:paraId="390BD0AF">
      <w:pPr>
        <w:spacing w:line="360" w:lineRule="auto"/>
        <w:ind w:firstLine="420" w:firstLineChars="200"/>
        <w:rPr>
          <w:color w:val="000000"/>
          <w:highlight w:val="none"/>
        </w:rPr>
      </w:pPr>
      <w:r>
        <w:rPr>
          <w:rFonts w:hint="eastAsia"/>
          <w:color w:val="000000"/>
          <w:highlight w:val="none"/>
        </w:rPr>
        <w:t>2.由于乙方或乙方作业人员违章指挥、违章作业或设备、设施不完善造成的伤亡事故，由乙方参照国家现行规定负责处理，并负责伤、残、亡全部经济补偿和善后处理，对甲方的一切损失负责赔偿。</w:t>
      </w:r>
    </w:p>
    <w:p w14:paraId="084CA8AF">
      <w:pPr>
        <w:spacing w:line="360" w:lineRule="auto"/>
        <w:ind w:firstLine="420" w:firstLineChars="200"/>
        <w:rPr>
          <w:color w:val="000000"/>
          <w:highlight w:val="none"/>
        </w:rPr>
      </w:pPr>
      <w:r>
        <w:rPr>
          <w:rFonts w:hint="eastAsia"/>
          <w:color w:val="000000"/>
          <w:highlight w:val="none"/>
        </w:rPr>
        <w:t>3.由于甲方或第三方的责任造成乙方作业人员伤、残、亡事故，在执行事故处理规定的同时，并参照国家现行政策，由责任单位一次性给予乙方经济补偿，其善后事宜由乙方处理。</w:t>
      </w:r>
    </w:p>
    <w:p w14:paraId="1FC30599">
      <w:pPr>
        <w:spacing w:line="360" w:lineRule="auto"/>
        <w:ind w:firstLine="422" w:firstLineChars="200"/>
        <w:rPr>
          <w:b/>
          <w:color w:val="000000"/>
          <w:highlight w:val="none"/>
        </w:rPr>
      </w:pPr>
      <w:r>
        <w:rPr>
          <w:rFonts w:hint="eastAsia"/>
          <w:b/>
          <w:color w:val="000000"/>
          <w:highlight w:val="none"/>
        </w:rPr>
        <w:t>六、其他</w:t>
      </w:r>
    </w:p>
    <w:p w14:paraId="13B99936">
      <w:pPr>
        <w:spacing w:line="360" w:lineRule="auto"/>
        <w:ind w:firstLine="420" w:firstLineChars="200"/>
        <w:rPr>
          <w:color w:val="000000"/>
          <w:highlight w:val="none"/>
        </w:rPr>
      </w:pPr>
      <w:r>
        <w:rPr>
          <w:rFonts w:hint="eastAsia"/>
          <w:color w:val="000000"/>
          <w:highlight w:val="none"/>
        </w:rPr>
        <w:t>本责任书作为合同附件，甲乙双方代表签字盖章后生效。</w:t>
      </w:r>
    </w:p>
    <w:p w14:paraId="20A46795">
      <w:pPr>
        <w:rPr>
          <w:color w:val="000000"/>
          <w:highlight w:val="none"/>
        </w:rPr>
      </w:pPr>
    </w:p>
    <w:p w14:paraId="61A5F902">
      <w:pPr>
        <w:rPr>
          <w:color w:val="000000"/>
          <w:highlight w:val="none"/>
        </w:rPr>
      </w:pPr>
    </w:p>
    <w:p w14:paraId="541488AB">
      <w:pPr>
        <w:rPr>
          <w:color w:val="000000"/>
          <w:highlight w:val="none"/>
        </w:rPr>
      </w:pPr>
      <w:r>
        <w:rPr>
          <w:rFonts w:hint="eastAsia"/>
          <w:color w:val="000000"/>
          <w:highlight w:val="none"/>
        </w:rPr>
        <w:t>------------------------------------------本页以下为签章页</w:t>
      </w:r>
      <w:r>
        <w:rPr>
          <w:rFonts w:hint="eastAsia"/>
          <w:color w:val="000000"/>
          <w:highlight w:val="none"/>
          <w:lang w:eastAsia="zh-CN"/>
        </w:rPr>
        <w:t>，无</w:t>
      </w:r>
      <w:r>
        <w:rPr>
          <w:rFonts w:hint="eastAsia"/>
          <w:color w:val="000000"/>
          <w:highlight w:val="none"/>
        </w:rPr>
        <w:t>正文</w:t>
      </w:r>
      <w:r>
        <w:rPr>
          <w:rFonts w:hint="eastAsia"/>
          <w:color w:val="000000"/>
          <w:highlight w:val="none"/>
          <w:lang w:eastAsia="zh-CN"/>
        </w:rPr>
        <w:t>内容。</w:t>
      </w:r>
      <w:r>
        <w:rPr>
          <w:rFonts w:hint="eastAsia"/>
          <w:color w:val="000000"/>
          <w:highlight w:val="none"/>
        </w:rPr>
        <w:t>-----------------------------------------------</w:t>
      </w:r>
    </w:p>
    <w:p w14:paraId="5F4ADCDA">
      <w:pPr>
        <w:rPr>
          <w:color w:val="000000"/>
          <w:highlight w:val="none"/>
        </w:rPr>
      </w:pPr>
    </w:p>
    <w:p w14:paraId="19C18BC5">
      <w:pPr>
        <w:ind w:left="840" w:leftChars="200" w:hanging="420" w:hangingChars="200"/>
        <w:rPr>
          <w:color w:val="000000"/>
          <w:highlight w:val="none"/>
        </w:rPr>
      </w:pPr>
    </w:p>
    <w:tbl>
      <w:tblPr>
        <w:tblStyle w:val="44"/>
        <w:tblW w:w="8760" w:type="dxa"/>
        <w:jc w:val="center"/>
        <w:tblLayout w:type="fixed"/>
        <w:tblCellMar>
          <w:top w:w="0" w:type="dxa"/>
          <w:left w:w="108" w:type="dxa"/>
          <w:bottom w:w="0" w:type="dxa"/>
          <w:right w:w="108" w:type="dxa"/>
        </w:tblCellMar>
      </w:tblPr>
      <w:tblGrid>
        <w:gridCol w:w="4380"/>
        <w:gridCol w:w="4380"/>
      </w:tblGrid>
      <w:tr w14:paraId="38A82AA6">
        <w:tblPrEx>
          <w:tblCellMar>
            <w:top w:w="0" w:type="dxa"/>
            <w:left w:w="108" w:type="dxa"/>
            <w:bottom w:w="0" w:type="dxa"/>
            <w:right w:w="108" w:type="dxa"/>
          </w:tblCellMar>
        </w:tblPrEx>
        <w:trPr>
          <w:trHeight w:val="1329" w:hRule="atLeast"/>
          <w:jc w:val="center"/>
        </w:trPr>
        <w:tc>
          <w:tcPr>
            <w:tcW w:w="4380" w:type="dxa"/>
          </w:tcPr>
          <w:p w14:paraId="05C2AF20">
            <w:pPr>
              <w:pStyle w:val="38"/>
              <w:spacing w:line="360" w:lineRule="auto"/>
              <w:ind w:left="1440" w:hanging="1260" w:hangingChars="600"/>
              <w:rPr>
                <w:rFonts w:hint="eastAsia" w:ascii="ˎ̥" w:hAnsi="ˎ̥" w:eastAsia="宋体"/>
                <w:color w:val="000000"/>
                <w:sz w:val="21"/>
                <w:szCs w:val="21"/>
                <w:highlight w:val="none"/>
                <w:lang w:eastAsia="zh-CN"/>
              </w:rPr>
            </w:pPr>
            <w:r>
              <w:rPr>
                <w:rFonts w:hint="eastAsia" w:ascii="ˎ̥" w:hAnsi="ˎ̥"/>
                <w:color w:val="000000"/>
                <w:sz w:val="21"/>
                <w:szCs w:val="21"/>
                <w:highlight w:val="none"/>
              </w:rPr>
              <w:t>甲方：（公章）</w:t>
            </w:r>
          </w:p>
          <w:p w14:paraId="529B7AF0">
            <w:pPr>
              <w:spacing w:line="360" w:lineRule="auto"/>
              <w:rPr>
                <w:rFonts w:hint="eastAsia" w:ascii="ˎ̥" w:hAnsi="ˎ̥" w:cs="宋体"/>
                <w:color w:val="000000"/>
                <w:kern w:val="0"/>
                <w:szCs w:val="21"/>
                <w:highlight w:val="none"/>
              </w:rPr>
            </w:pPr>
          </w:p>
        </w:tc>
        <w:tc>
          <w:tcPr>
            <w:tcW w:w="4380" w:type="dxa"/>
          </w:tcPr>
          <w:p w14:paraId="0244197C">
            <w:pPr>
              <w:spacing w:line="360" w:lineRule="auto"/>
              <w:ind w:left="1920" w:hanging="1680" w:hangingChars="800"/>
              <w:rPr>
                <w:rFonts w:hint="eastAsia" w:ascii="ˎ̥" w:hAnsi="ˎ̥" w:eastAsia="宋体" w:cs="宋体"/>
                <w:color w:val="000000"/>
                <w:kern w:val="0"/>
                <w:szCs w:val="21"/>
                <w:highlight w:val="none"/>
                <w:lang w:eastAsia="zh-CN"/>
              </w:rPr>
            </w:pPr>
            <w:r>
              <w:rPr>
                <w:rFonts w:hint="eastAsia" w:ascii="ˎ̥" w:hAnsi="ˎ̥"/>
                <w:color w:val="000000"/>
                <w:sz w:val="21"/>
                <w:szCs w:val="21"/>
                <w:highlight w:val="none"/>
              </w:rPr>
              <w:t>乙方：（公章）</w:t>
            </w:r>
          </w:p>
        </w:tc>
      </w:tr>
      <w:tr w14:paraId="5A2AF84C">
        <w:tblPrEx>
          <w:tblCellMar>
            <w:top w:w="0" w:type="dxa"/>
            <w:left w:w="108" w:type="dxa"/>
            <w:bottom w:w="0" w:type="dxa"/>
            <w:right w:w="108" w:type="dxa"/>
          </w:tblCellMar>
        </w:tblPrEx>
        <w:trPr>
          <w:trHeight w:val="1578" w:hRule="atLeast"/>
          <w:jc w:val="center"/>
        </w:trPr>
        <w:tc>
          <w:tcPr>
            <w:tcW w:w="4380" w:type="dxa"/>
          </w:tcPr>
          <w:p w14:paraId="2B17EBA4">
            <w:pPr>
              <w:pStyle w:val="38"/>
              <w:spacing w:line="360" w:lineRule="auto"/>
              <w:rPr>
                <w:rFonts w:hint="eastAsia" w:ascii="ˎ̥" w:hAnsi="ˎ̥"/>
                <w:color w:val="000000"/>
                <w:sz w:val="21"/>
                <w:szCs w:val="21"/>
                <w:highlight w:val="none"/>
              </w:rPr>
            </w:pPr>
            <w:r>
              <w:rPr>
                <w:rFonts w:hint="eastAsia" w:ascii="ˎ̥" w:hAnsi="ˎ̥"/>
                <w:color w:val="000000"/>
                <w:sz w:val="21"/>
                <w:szCs w:val="21"/>
                <w:highlight w:val="none"/>
              </w:rPr>
              <w:t>法定代表人或授权委托人：</w:t>
            </w:r>
          </w:p>
          <w:p w14:paraId="174CBEC2">
            <w:pPr>
              <w:pStyle w:val="38"/>
              <w:spacing w:line="360" w:lineRule="auto"/>
              <w:rPr>
                <w:rFonts w:hint="eastAsia" w:ascii="ˎ̥" w:hAnsi="ˎ̥"/>
                <w:color w:val="000000"/>
                <w:sz w:val="21"/>
                <w:szCs w:val="21"/>
                <w:highlight w:val="none"/>
              </w:rPr>
            </w:pPr>
            <w:r>
              <w:rPr>
                <w:rFonts w:hint="eastAsia" w:ascii="ˎ̥" w:hAnsi="ˎ̥"/>
                <w:color w:val="000000"/>
                <w:sz w:val="21"/>
                <w:szCs w:val="21"/>
                <w:highlight w:val="none"/>
              </w:rPr>
              <w:t>经办人：</w:t>
            </w:r>
          </w:p>
        </w:tc>
        <w:tc>
          <w:tcPr>
            <w:tcW w:w="4380" w:type="dxa"/>
          </w:tcPr>
          <w:p w14:paraId="4E6C3636">
            <w:pPr>
              <w:pStyle w:val="38"/>
              <w:spacing w:line="360" w:lineRule="auto"/>
              <w:rPr>
                <w:rFonts w:hint="eastAsia" w:ascii="ˎ̥" w:hAnsi="ˎ̥"/>
                <w:color w:val="000000"/>
                <w:sz w:val="21"/>
                <w:szCs w:val="21"/>
                <w:highlight w:val="none"/>
              </w:rPr>
            </w:pPr>
            <w:r>
              <w:rPr>
                <w:rFonts w:hint="eastAsia" w:ascii="ˎ̥" w:hAnsi="ˎ̥"/>
                <w:color w:val="000000"/>
                <w:sz w:val="21"/>
                <w:szCs w:val="21"/>
                <w:highlight w:val="none"/>
              </w:rPr>
              <w:t>法定代表人或授权委托人：</w:t>
            </w:r>
          </w:p>
          <w:p w14:paraId="5118BE33">
            <w:pPr>
              <w:pStyle w:val="38"/>
              <w:spacing w:line="360" w:lineRule="auto"/>
              <w:rPr>
                <w:rFonts w:hint="eastAsia" w:ascii="ˎ̥" w:hAnsi="ˎ̥"/>
                <w:color w:val="000000"/>
                <w:sz w:val="21"/>
                <w:szCs w:val="21"/>
                <w:highlight w:val="none"/>
              </w:rPr>
            </w:pPr>
            <w:r>
              <w:rPr>
                <w:rFonts w:hint="eastAsia" w:ascii="ˎ̥" w:hAnsi="ˎ̥"/>
                <w:color w:val="000000"/>
                <w:sz w:val="21"/>
                <w:szCs w:val="21"/>
                <w:highlight w:val="none"/>
              </w:rPr>
              <w:t>经办人：</w:t>
            </w:r>
          </w:p>
        </w:tc>
      </w:tr>
    </w:tbl>
    <w:p w14:paraId="4D06DC77">
      <w:pPr>
        <w:spacing w:line="240" w:lineRule="auto"/>
        <w:rPr>
          <w:rFonts w:hint="eastAsia"/>
          <w:b/>
          <w:highlight w:val="none"/>
        </w:rPr>
      </w:pPr>
    </w:p>
    <w:p w14:paraId="5BEADCCB">
      <w:pPr>
        <w:spacing w:line="240" w:lineRule="auto"/>
        <w:rPr>
          <w:rFonts w:hint="eastAsia"/>
          <w:b/>
          <w:highlight w:val="none"/>
        </w:rPr>
      </w:pPr>
      <w:r>
        <w:rPr>
          <w:rFonts w:hint="eastAsia"/>
          <w:b/>
          <w:highlight w:val="none"/>
        </w:rPr>
        <w:br w:type="page"/>
      </w:r>
    </w:p>
    <w:p w14:paraId="2B29EA8D">
      <w:pPr>
        <w:spacing w:line="360" w:lineRule="auto"/>
        <w:rPr>
          <w:rFonts w:hint="eastAsia" w:eastAsia="宋体"/>
          <w:b/>
          <w:highlight w:val="none"/>
          <w:lang w:eastAsia="zh-CN"/>
        </w:rPr>
      </w:pPr>
      <w:r>
        <w:rPr>
          <w:rFonts w:hint="eastAsia"/>
          <w:b/>
          <w:highlight w:val="none"/>
        </w:rPr>
        <w:t>附件</w:t>
      </w:r>
      <w:r>
        <w:rPr>
          <w:rFonts w:hint="eastAsia"/>
          <w:b/>
          <w:highlight w:val="none"/>
          <w:lang w:val="en-US" w:eastAsia="zh-CN"/>
        </w:rPr>
        <w:t>2</w:t>
      </w:r>
    </w:p>
    <w:tbl>
      <w:tblPr>
        <w:tblStyle w:val="44"/>
        <w:tblW w:w="5000" w:type="pct"/>
        <w:tblInd w:w="0" w:type="dxa"/>
        <w:tblLayout w:type="autofit"/>
        <w:tblCellMar>
          <w:top w:w="0" w:type="dxa"/>
          <w:left w:w="108" w:type="dxa"/>
          <w:bottom w:w="0" w:type="dxa"/>
          <w:right w:w="108" w:type="dxa"/>
        </w:tblCellMar>
      </w:tblPr>
      <w:tblGrid>
        <w:gridCol w:w="1271"/>
        <w:gridCol w:w="260"/>
        <w:gridCol w:w="1411"/>
        <w:gridCol w:w="1673"/>
        <w:gridCol w:w="1726"/>
        <w:gridCol w:w="1490"/>
        <w:gridCol w:w="1599"/>
      </w:tblGrid>
      <w:tr w14:paraId="276F7D26">
        <w:tblPrEx>
          <w:tblCellMar>
            <w:top w:w="0" w:type="dxa"/>
            <w:left w:w="108" w:type="dxa"/>
            <w:bottom w:w="0" w:type="dxa"/>
            <w:right w:w="108" w:type="dxa"/>
          </w:tblCellMar>
        </w:tblPrEx>
        <w:trPr>
          <w:trHeight w:val="505" w:hRule="atLeast"/>
        </w:trPr>
        <w:tc>
          <w:tcPr>
            <w:tcW w:w="5000" w:type="pct"/>
            <w:gridSpan w:val="7"/>
            <w:tcBorders>
              <w:top w:val="nil"/>
              <w:left w:val="nil"/>
              <w:bottom w:val="nil"/>
              <w:right w:val="nil"/>
            </w:tcBorders>
            <w:noWrap w:val="0"/>
            <w:vAlign w:val="center"/>
          </w:tcPr>
          <w:p w14:paraId="1DB07E06">
            <w:pPr>
              <w:jc w:val="center"/>
              <w:rPr>
                <w:rFonts w:ascii="仿宋" w:hAnsi="仿宋" w:eastAsia="仿宋" w:cs="宋体"/>
                <w:bCs/>
                <w:sz w:val="28"/>
                <w:szCs w:val="28"/>
                <w:highlight w:val="none"/>
              </w:rPr>
            </w:pPr>
            <w:r>
              <w:rPr>
                <w:rFonts w:hint="eastAsia" w:ascii="仿宋" w:hAnsi="仿宋" w:eastAsia="仿宋" w:cs="宋体"/>
                <w:bCs/>
                <w:sz w:val="28"/>
                <w:szCs w:val="28"/>
                <w:highlight w:val="none"/>
              </w:rPr>
              <w:t>供应商履约评价/末次评价打分表</w:t>
            </w:r>
          </w:p>
        </w:tc>
      </w:tr>
      <w:tr w14:paraId="3F615313">
        <w:tblPrEx>
          <w:tblCellMar>
            <w:top w:w="0" w:type="dxa"/>
            <w:left w:w="108" w:type="dxa"/>
            <w:bottom w:w="0" w:type="dxa"/>
            <w:right w:w="108" w:type="dxa"/>
          </w:tblCellMar>
        </w:tblPrEx>
        <w:trPr>
          <w:trHeight w:val="80" w:hRule="atLeast"/>
        </w:trPr>
        <w:tc>
          <w:tcPr>
            <w:tcW w:w="5000" w:type="pct"/>
            <w:gridSpan w:val="7"/>
            <w:tcBorders>
              <w:top w:val="nil"/>
              <w:left w:val="nil"/>
              <w:bottom w:val="nil"/>
              <w:right w:val="nil"/>
            </w:tcBorders>
            <w:noWrap w:val="0"/>
            <w:vAlign w:val="center"/>
          </w:tcPr>
          <w:p w14:paraId="265503DF">
            <w:pPr>
              <w:jc w:val="right"/>
              <w:rPr>
                <w:rFonts w:ascii="宋体" w:hAnsi="宋体" w:cs="宋体"/>
                <w:sz w:val="21"/>
                <w:szCs w:val="21"/>
                <w:highlight w:val="none"/>
              </w:rPr>
            </w:pPr>
          </w:p>
        </w:tc>
      </w:tr>
      <w:tr w14:paraId="50BDEB87">
        <w:tblPrEx>
          <w:tblCellMar>
            <w:top w:w="0" w:type="dxa"/>
            <w:left w:w="108" w:type="dxa"/>
            <w:bottom w:w="0" w:type="dxa"/>
            <w:right w:w="108" w:type="dxa"/>
          </w:tblCellMar>
        </w:tblPrEx>
        <w:trPr>
          <w:trHeight w:val="418" w:hRule="atLeast"/>
        </w:trPr>
        <w:tc>
          <w:tcPr>
            <w:tcW w:w="812" w:type="pct"/>
            <w:gridSpan w:val="2"/>
            <w:tcBorders>
              <w:top w:val="single" w:color="auto" w:sz="4" w:space="0"/>
              <w:left w:val="single" w:color="auto" w:sz="4" w:space="0"/>
              <w:bottom w:val="single" w:color="auto" w:sz="4" w:space="0"/>
              <w:right w:val="single" w:color="auto" w:sz="4" w:space="0"/>
            </w:tcBorders>
            <w:noWrap w:val="0"/>
            <w:vAlign w:val="center"/>
          </w:tcPr>
          <w:p w14:paraId="7AC05399">
            <w:pPr>
              <w:jc w:val="center"/>
              <w:rPr>
                <w:rFonts w:ascii="宋体" w:hAnsi="宋体" w:cs="宋体"/>
                <w:sz w:val="21"/>
                <w:szCs w:val="21"/>
                <w:highlight w:val="none"/>
              </w:rPr>
            </w:pPr>
            <w:r>
              <w:rPr>
                <w:rFonts w:hint="eastAsia" w:ascii="宋体" w:hAnsi="宋体" w:cs="宋体"/>
                <w:sz w:val="21"/>
                <w:szCs w:val="21"/>
                <w:highlight w:val="none"/>
              </w:rPr>
              <w:t>供应商名称</w:t>
            </w:r>
          </w:p>
        </w:tc>
        <w:tc>
          <w:tcPr>
            <w:tcW w:w="1635" w:type="pct"/>
            <w:gridSpan w:val="2"/>
            <w:tcBorders>
              <w:top w:val="single" w:color="auto" w:sz="4" w:space="0"/>
              <w:left w:val="nil"/>
              <w:bottom w:val="single" w:color="auto" w:sz="4" w:space="0"/>
              <w:right w:val="single" w:color="000000" w:sz="4" w:space="0"/>
            </w:tcBorders>
            <w:noWrap w:val="0"/>
            <w:vAlign w:val="center"/>
          </w:tcPr>
          <w:p w14:paraId="63C649B7">
            <w:pPr>
              <w:jc w:val="center"/>
              <w:rPr>
                <w:rFonts w:ascii="宋体" w:hAnsi="宋体" w:cs="宋体"/>
                <w:sz w:val="21"/>
                <w:szCs w:val="21"/>
                <w:highlight w:val="none"/>
              </w:rPr>
            </w:pPr>
            <w:r>
              <w:rPr>
                <w:rFonts w:hint="eastAsia" w:ascii="宋体" w:hAnsi="宋体" w:cs="宋体"/>
                <w:sz w:val="21"/>
                <w:szCs w:val="21"/>
                <w:highlight w:val="none"/>
              </w:rPr>
              <w:t>　</w:t>
            </w:r>
          </w:p>
        </w:tc>
        <w:tc>
          <w:tcPr>
            <w:tcW w:w="915" w:type="pct"/>
            <w:tcBorders>
              <w:top w:val="single" w:color="auto" w:sz="4" w:space="0"/>
              <w:left w:val="nil"/>
              <w:bottom w:val="single" w:color="auto" w:sz="4" w:space="0"/>
              <w:right w:val="single" w:color="auto" w:sz="4" w:space="0"/>
            </w:tcBorders>
            <w:noWrap w:val="0"/>
            <w:vAlign w:val="center"/>
          </w:tcPr>
          <w:p w14:paraId="023946D0">
            <w:pPr>
              <w:rPr>
                <w:rFonts w:ascii="宋体" w:hAnsi="宋体" w:cs="宋体"/>
                <w:sz w:val="21"/>
                <w:szCs w:val="21"/>
                <w:highlight w:val="none"/>
              </w:rPr>
            </w:pPr>
            <w:r>
              <w:rPr>
                <w:rFonts w:hint="eastAsia" w:ascii="宋体" w:hAnsi="宋体" w:cs="宋体"/>
                <w:sz w:val="21"/>
                <w:szCs w:val="21"/>
                <w:highlight w:val="none"/>
              </w:rPr>
              <w:t>供应商地址</w:t>
            </w:r>
          </w:p>
        </w:tc>
        <w:tc>
          <w:tcPr>
            <w:tcW w:w="1638" w:type="pct"/>
            <w:gridSpan w:val="2"/>
            <w:tcBorders>
              <w:top w:val="single" w:color="auto" w:sz="4" w:space="0"/>
              <w:left w:val="nil"/>
              <w:bottom w:val="single" w:color="auto" w:sz="4" w:space="0"/>
              <w:right w:val="single" w:color="000000" w:sz="4" w:space="0"/>
            </w:tcBorders>
            <w:noWrap w:val="0"/>
            <w:vAlign w:val="center"/>
          </w:tcPr>
          <w:p w14:paraId="5AECF767">
            <w:pPr>
              <w:jc w:val="center"/>
              <w:rPr>
                <w:rFonts w:ascii="宋体" w:hAnsi="宋体" w:cs="宋体"/>
                <w:sz w:val="21"/>
                <w:szCs w:val="21"/>
                <w:highlight w:val="none"/>
              </w:rPr>
            </w:pPr>
            <w:r>
              <w:rPr>
                <w:rFonts w:hint="eastAsia" w:ascii="宋体" w:hAnsi="宋体" w:cs="宋体"/>
                <w:sz w:val="21"/>
                <w:szCs w:val="21"/>
                <w:highlight w:val="none"/>
              </w:rPr>
              <w:t>　</w:t>
            </w:r>
          </w:p>
        </w:tc>
      </w:tr>
      <w:tr w14:paraId="71EE1B14">
        <w:tblPrEx>
          <w:tblCellMar>
            <w:top w:w="0" w:type="dxa"/>
            <w:left w:w="108" w:type="dxa"/>
            <w:bottom w:w="0" w:type="dxa"/>
            <w:right w:w="108" w:type="dxa"/>
          </w:tblCellMar>
        </w:tblPrEx>
        <w:trPr>
          <w:trHeight w:val="423" w:hRule="atLeast"/>
        </w:trPr>
        <w:tc>
          <w:tcPr>
            <w:tcW w:w="812" w:type="pct"/>
            <w:gridSpan w:val="2"/>
            <w:tcBorders>
              <w:top w:val="nil"/>
              <w:left w:val="single" w:color="auto" w:sz="4" w:space="0"/>
              <w:bottom w:val="single" w:color="auto" w:sz="4" w:space="0"/>
              <w:right w:val="single" w:color="auto" w:sz="4" w:space="0"/>
            </w:tcBorders>
            <w:noWrap w:val="0"/>
            <w:vAlign w:val="center"/>
          </w:tcPr>
          <w:p w14:paraId="5C883B84">
            <w:pPr>
              <w:jc w:val="center"/>
              <w:rPr>
                <w:rFonts w:ascii="宋体" w:hAnsi="宋体" w:cs="宋体"/>
                <w:sz w:val="21"/>
                <w:szCs w:val="21"/>
                <w:highlight w:val="none"/>
              </w:rPr>
            </w:pPr>
            <w:r>
              <w:rPr>
                <w:rFonts w:hint="eastAsia" w:ascii="宋体" w:hAnsi="宋体" w:cs="宋体"/>
                <w:sz w:val="21"/>
                <w:szCs w:val="21"/>
                <w:highlight w:val="none"/>
              </w:rPr>
              <w:t>合作项目</w:t>
            </w:r>
          </w:p>
        </w:tc>
        <w:tc>
          <w:tcPr>
            <w:tcW w:w="1635" w:type="pct"/>
            <w:gridSpan w:val="2"/>
            <w:tcBorders>
              <w:top w:val="single" w:color="auto" w:sz="4" w:space="0"/>
              <w:left w:val="nil"/>
              <w:bottom w:val="single" w:color="auto" w:sz="4" w:space="0"/>
              <w:right w:val="single" w:color="000000" w:sz="4" w:space="0"/>
            </w:tcBorders>
            <w:noWrap w:val="0"/>
            <w:vAlign w:val="center"/>
          </w:tcPr>
          <w:p w14:paraId="209CF82A">
            <w:pPr>
              <w:jc w:val="center"/>
              <w:rPr>
                <w:rFonts w:ascii="宋体" w:hAnsi="宋体" w:cs="宋体"/>
                <w:sz w:val="21"/>
                <w:szCs w:val="21"/>
                <w:highlight w:val="none"/>
              </w:rPr>
            </w:pPr>
            <w:r>
              <w:rPr>
                <w:rFonts w:hint="eastAsia" w:ascii="宋体" w:hAnsi="宋体" w:cs="宋体"/>
                <w:sz w:val="21"/>
                <w:szCs w:val="21"/>
                <w:highlight w:val="none"/>
              </w:rPr>
              <w:t>　</w:t>
            </w:r>
          </w:p>
        </w:tc>
        <w:tc>
          <w:tcPr>
            <w:tcW w:w="915" w:type="pct"/>
            <w:tcBorders>
              <w:top w:val="nil"/>
              <w:left w:val="nil"/>
              <w:bottom w:val="single" w:color="auto" w:sz="4" w:space="0"/>
              <w:right w:val="single" w:color="auto" w:sz="4" w:space="0"/>
            </w:tcBorders>
            <w:noWrap w:val="0"/>
            <w:vAlign w:val="center"/>
          </w:tcPr>
          <w:p w14:paraId="6CCCABFA">
            <w:pPr>
              <w:rPr>
                <w:rFonts w:ascii="宋体" w:hAnsi="宋体" w:cs="宋体"/>
                <w:sz w:val="21"/>
                <w:szCs w:val="21"/>
                <w:highlight w:val="none"/>
              </w:rPr>
            </w:pPr>
            <w:r>
              <w:rPr>
                <w:rFonts w:hint="eastAsia" w:ascii="宋体" w:hAnsi="宋体" w:cs="宋体"/>
                <w:sz w:val="21"/>
                <w:szCs w:val="21"/>
                <w:highlight w:val="none"/>
              </w:rPr>
              <w:t>服务内容</w:t>
            </w:r>
          </w:p>
        </w:tc>
        <w:tc>
          <w:tcPr>
            <w:tcW w:w="1638" w:type="pct"/>
            <w:gridSpan w:val="2"/>
            <w:tcBorders>
              <w:top w:val="single" w:color="auto" w:sz="4" w:space="0"/>
              <w:left w:val="nil"/>
              <w:bottom w:val="single" w:color="auto" w:sz="4" w:space="0"/>
              <w:right w:val="single" w:color="000000" w:sz="4" w:space="0"/>
            </w:tcBorders>
            <w:noWrap w:val="0"/>
            <w:vAlign w:val="center"/>
          </w:tcPr>
          <w:p w14:paraId="0030B96B">
            <w:pPr>
              <w:jc w:val="center"/>
              <w:rPr>
                <w:rFonts w:ascii="宋体" w:hAnsi="宋体" w:cs="宋体"/>
                <w:sz w:val="21"/>
                <w:szCs w:val="21"/>
                <w:highlight w:val="none"/>
              </w:rPr>
            </w:pPr>
            <w:r>
              <w:rPr>
                <w:rFonts w:hint="eastAsia" w:ascii="宋体" w:hAnsi="宋体" w:cs="宋体"/>
                <w:sz w:val="21"/>
                <w:szCs w:val="21"/>
                <w:highlight w:val="none"/>
              </w:rPr>
              <w:t>　</w:t>
            </w:r>
          </w:p>
        </w:tc>
      </w:tr>
      <w:tr w14:paraId="3C97CB8C">
        <w:tblPrEx>
          <w:tblCellMar>
            <w:top w:w="0" w:type="dxa"/>
            <w:left w:w="108" w:type="dxa"/>
            <w:bottom w:w="0" w:type="dxa"/>
            <w:right w:w="108" w:type="dxa"/>
          </w:tblCellMar>
        </w:tblPrEx>
        <w:trPr>
          <w:trHeight w:val="839" w:hRule="atLeast"/>
        </w:trPr>
        <w:tc>
          <w:tcPr>
            <w:tcW w:w="812" w:type="pct"/>
            <w:gridSpan w:val="2"/>
            <w:tcBorders>
              <w:top w:val="nil"/>
              <w:left w:val="single" w:color="auto" w:sz="4" w:space="0"/>
              <w:bottom w:val="single" w:color="auto" w:sz="4" w:space="0"/>
              <w:right w:val="single" w:color="auto" w:sz="4" w:space="0"/>
            </w:tcBorders>
            <w:noWrap w:val="0"/>
            <w:vAlign w:val="center"/>
          </w:tcPr>
          <w:p w14:paraId="709B60F1">
            <w:pPr>
              <w:jc w:val="center"/>
              <w:rPr>
                <w:rFonts w:ascii="宋体" w:hAnsi="宋体" w:cs="宋体"/>
                <w:sz w:val="21"/>
                <w:szCs w:val="21"/>
                <w:highlight w:val="none"/>
              </w:rPr>
            </w:pPr>
            <w:r>
              <w:rPr>
                <w:rFonts w:hint="eastAsia" w:ascii="宋体" w:hAnsi="宋体" w:cs="宋体"/>
                <w:sz w:val="21"/>
                <w:szCs w:val="21"/>
                <w:highlight w:val="none"/>
              </w:rPr>
              <w:t>供应商类型</w:t>
            </w:r>
          </w:p>
        </w:tc>
        <w:tc>
          <w:tcPr>
            <w:tcW w:w="4188" w:type="pct"/>
            <w:gridSpan w:val="5"/>
            <w:tcBorders>
              <w:top w:val="single" w:color="auto" w:sz="4" w:space="0"/>
              <w:left w:val="nil"/>
              <w:bottom w:val="single" w:color="auto" w:sz="4" w:space="0"/>
              <w:right w:val="single" w:color="000000" w:sz="4" w:space="0"/>
            </w:tcBorders>
            <w:noWrap w:val="0"/>
            <w:vAlign w:val="center"/>
          </w:tcPr>
          <w:p w14:paraId="6BEAD049">
            <w:pPr>
              <w:jc w:val="center"/>
              <w:rPr>
                <w:rFonts w:hint="eastAsia" w:ascii="宋体" w:hAnsi="宋体" w:eastAsia="宋体" w:cs="宋体"/>
                <w:sz w:val="21"/>
                <w:szCs w:val="21"/>
                <w:highlight w:val="none"/>
                <w:lang w:eastAsia="zh-CN"/>
              </w:rPr>
            </w:pPr>
            <w:r>
              <w:rPr>
                <w:rFonts w:hint="eastAsia" w:ascii="宋体" w:hAnsi="宋体" w:cs="宋体"/>
                <w:sz w:val="21"/>
                <w:szCs w:val="21"/>
                <w:highlight w:val="none"/>
              </w:rPr>
              <w:t>□①专业分包商      □②劳务分包商    ■③材料供应商</w:t>
            </w:r>
          </w:p>
          <w:p w14:paraId="17A51EB0">
            <w:pPr>
              <w:jc w:val="center"/>
              <w:rPr>
                <w:rFonts w:ascii="宋体" w:hAnsi="宋体" w:cs="宋体"/>
                <w:sz w:val="21"/>
                <w:szCs w:val="21"/>
                <w:highlight w:val="none"/>
              </w:rPr>
            </w:pPr>
            <w:r>
              <w:rPr>
                <w:rFonts w:hint="eastAsia" w:ascii="宋体" w:hAnsi="宋体" w:cs="宋体"/>
                <w:sz w:val="21"/>
                <w:szCs w:val="21"/>
                <w:highlight w:val="none"/>
              </w:rPr>
              <w:t>□④车辆设备供应商  □⑤服务提供商    □⑥其他供应商</w:t>
            </w:r>
          </w:p>
        </w:tc>
      </w:tr>
      <w:tr w14:paraId="21233BC8">
        <w:tblPrEx>
          <w:tblCellMar>
            <w:top w:w="0" w:type="dxa"/>
            <w:left w:w="108" w:type="dxa"/>
            <w:bottom w:w="0" w:type="dxa"/>
            <w:right w:w="108" w:type="dxa"/>
          </w:tblCellMar>
        </w:tblPrEx>
        <w:trPr>
          <w:trHeight w:val="479" w:hRule="atLeast"/>
        </w:trPr>
        <w:tc>
          <w:tcPr>
            <w:tcW w:w="5000" w:type="pct"/>
            <w:gridSpan w:val="7"/>
            <w:tcBorders>
              <w:top w:val="single" w:color="auto" w:sz="4" w:space="0"/>
              <w:left w:val="single" w:color="auto" w:sz="4" w:space="0"/>
              <w:bottom w:val="single" w:color="auto" w:sz="4" w:space="0"/>
              <w:right w:val="single" w:color="auto" w:sz="4" w:space="0"/>
            </w:tcBorders>
            <w:noWrap w:val="0"/>
            <w:vAlign w:val="center"/>
          </w:tcPr>
          <w:p w14:paraId="2F17525D">
            <w:pPr>
              <w:jc w:val="center"/>
              <w:rPr>
                <w:rFonts w:ascii="宋体" w:hAnsi="宋体" w:cs="宋体"/>
                <w:sz w:val="21"/>
                <w:szCs w:val="21"/>
                <w:highlight w:val="none"/>
              </w:rPr>
            </w:pPr>
            <w:r>
              <w:rPr>
                <w:rFonts w:hint="eastAsia" w:ascii="宋体" w:hAnsi="宋体" w:cs="宋体"/>
                <w:sz w:val="21"/>
                <w:szCs w:val="21"/>
                <w:highlight w:val="none"/>
              </w:rPr>
              <w:t xml:space="preserve">□履约评价      □末次评价  </w:t>
            </w:r>
          </w:p>
        </w:tc>
      </w:tr>
      <w:tr w14:paraId="591CB1FE">
        <w:tblPrEx>
          <w:tblCellMar>
            <w:top w:w="0" w:type="dxa"/>
            <w:left w:w="108" w:type="dxa"/>
            <w:bottom w:w="0" w:type="dxa"/>
            <w:right w:w="108" w:type="dxa"/>
          </w:tblCellMar>
        </w:tblPrEx>
        <w:trPr>
          <w:trHeight w:val="345" w:hRule="atLeast"/>
        </w:trPr>
        <w:tc>
          <w:tcPr>
            <w:tcW w:w="674" w:type="pct"/>
            <w:tcBorders>
              <w:top w:val="nil"/>
              <w:left w:val="single" w:color="auto" w:sz="4" w:space="0"/>
              <w:bottom w:val="single" w:color="auto" w:sz="4" w:space="0"/>
              <w:right w:val="single" w:color="auto" w:sz="4" w:space="0"/>
            </w:tcBorders>
            <w:noWrap w:val="0"/>
            <w:vAlign w:val="center"/>
          </w:tcPr>
          <w:p w14:paraId="0A8849AB">
            <w:pPr>
              <w:jc w:val="center"/>
              <w:rPr>
                <w:rFonts w:ascii="宋体" w:hAnsi="宋体" w:cs="宋体"/>
                <w:sz w:val="21"/>
                <w:szCs w:val="21"/>
                <w:highlight w:val="none"/>
              </w:rPr>
            </w:pPr>
            <w:r>
              <w:rPr>
                <w:rFonts w:hint="eastAsia" w:ascii="宋体" w:hAnsi="宋体" w:cs="宋体"/>
                <w:sz w:val="21"/>
                <w:szCs w:val="21"/>
                <w:highlight w:val="none"/>
              </w:rPr>
              <w:t>联系人</w:t>
            </w:r>
          </w:p>
        </w:tc>
        <w:tc>
          <w:tcPr>
            <w:tcW w:w="886" w:type="pct"/>
            <w:gridSpan w:val="2"/>
            <w:tcBorders>
              <w:top w:val="nil"/>
              <w:left w:val="nil"/>
              <w:bottom w:val="single" w:color="auto" w:sz="4" w:space="0"/>
              <w:right w:val="single" w:color="auto" w:sz="4" w:space="0"/>
            </w:tcBorders>
            <w:noWrap w:val="0"/>
            <w:vAlign w:val="center"/>
          </w:tcPr>
          <w:p w14:paraId="1050B18C">
            <w:pPr>
              <w:jc w:val="center"/>
              <w:rPr>
                <w:rFonts w:ascii="宋体" w:hAnsi="宋体" w:cs="宋体"/>
                <w:sz w:val="21"/>
                <w:szCs w:val="21"/>
                <w:highlight w:val="none"/>
              </w:rPr>
            </w:pPr>
            <w:r>
              <w:rPr>
                <w:rFonts w:hint="eastAsia" w:ascii="宋体" w:hAnsi="宋体" w:cs="宋体"/>
                <w:sz w:val="21"/>
                <w:szCs w:val="21"/>
                <w:highlight w:val="none"/>
              </w:rPr>
              <w:t>　</w:t>
            </w:r>
          </w:p>
        </w:tc>
        <w:tc>
          <w:tcPr>
            <w:tcW w:w="887" w:type="pct"/>
            <w:tcBorders>
              <w:top w:val="nil"/>
              <w:left w:val="nil"/>
              <w:bottom w:val="single" w:color="auto" w:sz="4" w:space="0"/>
              <w:right w:val="single" w:color="auto" w:sz="4" w:space="0"/>
            </w:tcBorders>
            <w:noWrap w:val="0"/>
            <w:vAlign w:val="center"/>
          </w:tcPr>
          <w:p w14:paraId="22D9653F">
            <w:pPr>
              <w:jc w:val="center"/>
              <w:rPr>
                <w:rFonts w:ascii="宋体" w:hAnsi="宋体" w:cs="宋体"/>
                <w:sz w:val="21"/>
                <w:szCs w:val="21"/>
                <w:highlight w:val="none"/>
              </w:rPr>
            </w:pPr>
            <w:r>
              <w:rPr>
                <w:rFonts w:hint="eastAsia" w:ascii="宋体" w:hAnsi="宋体" w:cs="宋体"/>
                <w:sz w:val="21"/>
                <w:szCs w:val="21"/>
                <w:highlight w:val="none"/>
              </w:rPr>
              <w:t>电话</w:t>
            </w:r>
          </w:p>
        </w:tc>
        <w:tc>
          <w:tcPr>
            <w:tcW w:w="915" w:type="pct"/>
            <w:tcBorders>
              <w:top w:val="nil"/>
              <w:left w:val="nil"/>
              <w:bottom w:val="single" w:color="auto" w:sz="4" w:space="0"/>
              <w:right w:val="single" w:color="auto" w:sz="4" w:space="0"/>
            </w:tcBorders>
            <w:noWrap w:val="0"/>
            <w:vAlign w:val="center"/>
          </w:tcPr>
          <w:p w14:paraId="3CB5CBA2">
            <w:pPr>
              <w:jc w:val="center"/>
              <w:rPr>
                <w:rFonts w:ascii="宋体" w:hAnsi="宋体" w:cs="宋体"/>
                <w:sz w:val="21"/>
                <w:szCs w:val="21"/>
                <w:highlight w:val="none"/>
              </w:rPr>
            </w:pPr>
            <w:r>
              <w:rPr>
                <w:rFonts w:hint="eastAsia" w:ascii="宋体" w:hAnsi="宋体" w:cs="宋体"/>
                <w:sz w:val="21"/>
                <w:szCs w:val="21"/>
                <w:highlight w:val="none"/>
              </w:rPr>
              <w:t>　</w:t>
            </w:r>
          </w:p>
        </w:tc>
        <w:tc>
          <w:tcPr>
            <w:tcW w:w="790" w:type="pct"/>
            <w:tcBorders>
              <w:top w:val="nil"/>
              <w:left w:val="nil"/>
              <w:bottom w:val="single" w:color="auto" w:sz="4" w:space="0"/>
              <w:right w:val="single" w:color="auto" w:sz="4" w:space="0"/>
            </w:tcBorders>
            <w:noWrap w:val="0"/>
            <w:vAlign w:val="center"/>
          </w:tcPr>
          <w:p w14:paraId="6A63A501">
            <w:pPr>
              <w:jc w:val="center"/>
              <w:rPr>
                <w:rFonts w:ascii="宋体" w:hAnsi="宋体" w:cs="宋体"/>
                <w:sz w:val="21"/>
                <w:szCs w:val="21"/>
                <w:highlight w:val="none"/>
              </w:rPr>
            </w:pPr>
            <w:r>
              <w:rPr>
                <w:rFonts w:hint="eastAsia" w:ascii="宋体" w:hAnsi="宋体" w:cs="宋体"/>
                <w:sz w:val="21"/>
                <w:szCs w:val="21"/>
                <w:highlight w:val="none"/>
              </w:rPr>
              <w:t>传真</w:t>
            </w:r>
          </w:p>
        </w:tc>
        <w:tc>
          <w:tcPr>
            <w:tcW w:w="848" w:type="pct"/>
            <w:tcBorders>
              <w:top w:val="nil"/>
              <w:left w:val="nil"/>
              <w:bottom w:val="single" w:color="auto" w:sz="4" w:space="0"/>
              <w:right w:val="single" w:color="auto" w:sz="4" w:space="0"/>
            </w:tcBorders>
            <w:noWrap w:val="0"/>
            <w:vAlign w:val="center"/>
          </w:tcPr>
          <w:p w14:paraId="373D8AA8">
            <w:pPr>
              <w:jc w:val="center"/>
              <w:rPr>
                <w:rFonts w:ascii="宋体" w:hAnsi="宋体" w:cs="宋体"/>
                <w:sz w:val="21"/>
                <w:szCs w:val="21"/>
                <w:highlight w:val="none"/>
              </w:rPr>
            </w:pPr>
            <w:r>
              <w:rPr>
                <w:rFonts w:hint="eastAsia" w:ascii="宋体" w:hAnsi="宋体" w:cs="宋体"/>
                <w:sz w:val="21"/>
                <w:szCs w:val="21"/>
                <w:highlight w:val="none"/>
              </w:rPr>
              <w:t>　</w:t>
            </w:r>
          </w:p>
        </w:tc>
      </w:tr>
      <w:tr w14:paraId="5809071B">
        <w:tblPrEx>
          <w:tblCellMar>
            <w:top w:w="0" w:type="dxa"/>
            <w:left w:w="108" w:type="dxa"/>
            <w:bottom w:w="0" w:type="dxa"/>
            <w:right w:w="108" w:type="dxa"/>
          </w:tblCellMar>
        </w:tblPrEx>
        <w:trPr>
          <w:trHeight w:val="2025" w:hRule="atLeast"/>
        </w:trPr>
        <w:tc>
          <w:tcPr>
            <w:tcW w:w="674" w:type="pct"/>
            <w:tcBorders>
              <w:top w:val="nil"/>
              <w:left w:val="single" w:color="auto" w:sz="4" w:space="0"/>
              <w:bottom w:val="single" w:color="auto" w:sz="4" w:space="0"/>
              <w:right w:val="single" w:color="auto" w:sz="4" w:space="0"/>
            </w:tcBorders>
            <w:noWrap w:val="0"/>
            <w:vAlign w:val="center"/>
          </w:tcPr>
          <w:p w14:paraId="2502BDAA">
            <w:pPr>
              <w:jc w:val="center"/>
              <w:rPr>
                <w:rFonts w:ascii="宋体" w:hAnsi="宋体" w:cs="宋体"/>
                <w:sz w:val="21"/>
                <w:szCs w:val="21"/>
                <w:highlight w:val="none"/>
              </w:rPr>
            </w:pPr>
            <w:r>
              <w:rPr>
                <w:rFonts w:hint="eastAsia" w:ascii="宋体" w:hAnsi="宋体" w:cs="宋体"/>
                <w:sz w:val="21"/>
                <w:szCs w:val="21"/>
                <w:highlight w:val="none"/>
              </w:rPr>
              <w:t>关键项评价</w:t>
            </w:r>
          </w:p>
        </w:tc>
        <w:tc>
          <w:tcPr>
            <w:tcW w:w="4326" w:type="pct"/>
            <w:gridSpan w:val="6"/>
            <w:tcBorders>
              <w:top w:val="single" w:color="auto" w:sz="4" w:space="0"/>
              <w:left w:val="nil"/>
              <w:bottom w:val="single" w:color="auto" w:sz="4" w:space="0"/>
              <w:right w:val="single" w:color="auto" w:sz="4" w:space="0"/>
            </w:tcBorders>
            <w:noWrap w:val="0"/>
            <w:vAlign w:val="center"/>
          </w:tcPr>
          <w:p w14:paraId="3F8856D9">
            <w:pPr>
              <w:rPr>
                <w:rFonts w:hint="eastAsia" w:ascii="宋体" w:hAnsi="宋体" w:eastAsia="宋体" w:cs="宋体"/>
                <w:sz w:val="21"/>
                <w:szCs w:val="21"/>
                <w:highlight w:val="none"/>
                <w:lang w:eastAsia="zh-CN"/>
              </w:rPr>
            </w:pPr>
            <w:r>
              <w:rPr>
                <w:rFonts w:hint="eastAsia" w:ascii="宋体" w:hAnsi="宋体" w:cs="宋体"/>
                <w:sz w:val="21"/>
                <w:szCs w:val="21"/>
                <w:highlight w:val="none"/>
              </w:rPr>
              <w:t>□提供的工程、服务或设备材料合格                 □符合， □不符合。</w:t>
            </w:r>
          </w:p>
          <w:p w14:paraId="18322A48">
            <w:pPr>
              <w:rPr>
                <w:rFonts w:hint="eastAsia" w:ascii="宋体" w:hAnsi="宋体" w:eastAsia="宋体" w:cs="宋体"/>
                <w:sz w:val="21"/>
                <w:szCs w:val="21"/>
                <w:highlight w:val="none"/>
                <w:lang w:eastAsia="zh-CN"/>
              </w:rPr>
            </w:pPr>
            <w:r>
              <w:rPr>
                <w:rFonts w:hint="eastAsia" w:ascii="宋体" w:hAnsi="宋体" w:cs="宋体"/>
                <w:sz w:val="21"/>
                <w:szCs w:val="21"/>
                <w:highlight w:val="none"/>
              </w:rPr>
              <w:t>□未发生重大质量、安全责任事故                   □符合， □不符合。</w:t>
            </w:r>
          </w:p>
          <w:p w14:paraId="658B9716">
            <w:pPr>
              <w:rPr>
                <w:rFonts w:hint="eastAsia" w:ascii="宋体" w:hAnsi="宋体" w:eastAsia="宋体" w:cs="宋体"/>
                <w:sz w:val="21"/>
                <w:szCs w:val="21"/>
                <w:highlight w:val="none"/>
                <w:lang w:eastAsia="zh-CN"/>
              </w:rPr>
            </w:pPr>
            <w:r>
              <w:rPr>
                <w:rFonts w:hint="eastAsia" w:ascii="宋体" w:hAnsi="宋体" w:cs="宋体"/>
                <w:sz w:val="21"/>
                <w:szCs w:val="21"/>
                <w:highlight w:val="none"/>
              </w:rPr>
              <w:t>□未严重拖延工期，给我集团造成重大损失           □符合， □不符合。</w:t>
            </w:r>
          </w:p>
          <w:p w14:paraId="1B45DABF">
            <w:pPr>
              <w:rPr>
                <w:rFonts w:hint="eastAsia" w:ascii="宋体" w:hAnsi="宋体" w:eastAsia="宋体" w:cs="宋体"/>
                <w:sz w:val="21"/>
                <w:szCs w:val="21"/>
                <w:highlight w:val="none"/>
                <w:lang w:eastAsia="zh-CN"/>
              </w:rPr>
            </w:pPr>
            <w:r>
              <w:rPr>
                <w:rFonts w:hint="eastAsia" w:ascii="宋体" w:hAnsi="宋体" w:cs="宋体"/>
                <w:sz w:val="21"/>
                <w:szCs w:val="21"/>
                <w:highlight w:val="none"/>
              </w:rPr>
              <w:t>□无重大劳资纠纷、群体性上访事件                 □符合， □不符合。</w:t>
            </w:r>
          </w:p>
          <w:p w14:paraId="0C14023C">
            <w:pPr>
              <w:rPr>
                <w:rFonts w:hint="eastAsia" w:ascii="宋体" w:hAnsi="宋体" w:eastAsia="宋体" w:cs="宋体"/>
                <w:sz w:val="21"/>
                <w:szCs w:val="21"/>
                <w:highlight w:val="none"/>
                <w:lang w:eastAsia="zh-CN"/>
              </w:rPr>
            </w:pPr>
            <w:r>
              <w:rPr>
                <w:rFonts w:hint="eastAsia" w:ascii="宋体" w:hAnsi="宋体" w:cs="宋体"/>
                <w:sz w:val="21"/>
                <w:szCs w:val="21"/>
                <w:highlight w:val="none"/>
              </w:rPr>
              <w:t>□无明显的欺骗、违约行为                         □符合， □不符合。</w:t>
            </w:r>
          </w:p>
          <w:p w14:paraId="0758FC32">
            <w:pPr>
              <w:rPr>
                <w:rFonts w:ascii="宋体" w:hAnsi="宋体" w:cs="宋体"/>
                <w:sz w:val="21"/>
                <w:szCs w:val="21"/>
                <w:highlight w:val="none"/>
              </w:rPr>
            </w:pPr>
            <w:r>
              <w:rPr>
                <w:rFonts w:hint="eastAsia" w:ascii="宋体" w:hAnsi="宋体" w:cs="宋体"/>
                <w:sz w:val="21"/>
                <w:szCs w:val="21"/>
                <w:highlight w:val="none"/>
              </w:rPr>
              <w:t>□无明显的售后服务无作为行为                    □符合， □不符合。</w:t>
            </w:r>
          </w:p>
        </w:tc>
      </w:tr>
      <w:tr w14:paraId="4E9BAD89">
        <w:tblPrEx>
          <w:tblCellMar>
            <w:top w:w="0" w:type="dxa"/>
            <w:left w:w="108" w:type="dxa"/>
            <w:bottom w:w="0" w:type="dxa"/>
            <w:right w:w="108" w:type="dxa"/>
          </w:tblCellMar>
        </w:tblPrEx>
        <w:trPr>
          <w:trHeight w:val="435" w:hRule="atLeast"/>
        </w:trPr>
        <w:tc>
          <w:tcPr>
            <w:tcW w:w="674" w:type="pct"/>
            <w:vMerge w:val="restart"/>
            <w:tcBorders>
              <w:top w:val="nil"/>
              <w:left w:val="single" w:color="auto" w:sz="4" w:space="0"/>
              <w:bottom w:val="single" w:color="auto" w:sz="4" w:space="0"/>
              <w:right w:val="single" w:color="auto" w:sz="4" w:space="0"/>
            </w:tcBorders>
            <w:noWrap w:val="0"/>
            <w:vAlign w:val="center"/>
          </w:tcPr>
          <w:p w14:paraId="16761F12">
            <w:pPr>
              <w:jc w:val="center"/>
              <w:rPr>
                <w:rFonts w:ascii="宋体" w:hAnsi="宋体" w:cs="宋体"/>
                <w:sz w:val="21"/>
                <w:szCs w:val="21"/>
                <w:highlight w:val="none"/>
              </w:rPr>
            </w:pPr>
            <w:r>
              <w:rPr>
                <w:rFonts w:hint="eastAsia" w:ascii="宋体" w:hAnsi="宋体" w:cs="宋体"/>
                <w:sz w:val="21"/>
                <w:szCs w:val="21"/>
                <w:highlight w:val="none"/>
              </w:rPr>
              <w:t>评分项评价</w:t>
            </w:r>
          </w:p>
        </w:tc>
        <w:tc>
          <w:tcPr>
            <w:tcW w:w="2688" w:type="pct"/>
            <w:gridSpan w:val="4"/>
            <w:tcBorders>
              <w:top w:val="single" w:color="auto" w:sz="4" w:space="0"/>
              <w:left w:val="nil"/>
              <w:bottom w:val="single" w:color="auto" w:sz="4" w:space="0"/>
              <w:right w:val="single" w:color="auto" w:sz="4" w:space="0"/>
            </w:tcBorders>
            <w:noWrap w:val="0"/>
            <w:vAlign w:val="center"/>
          </w:tcPr>
          <w:p w14:paraId="65B5B8C2">
            <w:pPr>
              <w:rPr>
                <w:rFonts w:ascii="宋体" w:hAnsi="宋体" w:cs="宋体"/>
                <w:sz w:val="21"/>
                <w:szCs w:val="21"/>
                <w:highlight w:val="none"/>
              </w:rPr>
            </w:pPr>
            <w:r>
              <w:rPr>
                <w:rFonts w:hint="eastAsia" w:ascii="宋体" w:hAnsi="宋体" w:cs="宋体"/>
                <w:sz w:val="21"/>
                <w:szCs w:val="21"/>
                <w:highlight w:val="none"/>
              </w:rPr>
              <w:t>1、调查其他用户反映的市场信誉</w:t>
            </w:r>
            <w:r>
              <w:rPr>
                <w:rFonts w:hint="eastAsia" w:ascii="宋体" w:hAnsi="宋体" w:cs="宋体"/>
                <w:sz w:val="21"/>
                <w:szCs w:val="21"/>
                <w:highlight w:val="none"/>
                <w:lang w:eastAsia="zh-CN"/>
              </w:rPr>
              <w:t>（</w:t>
            </w:r>
            <w:r>
              <w:rPr>
                <w:rFonts w:hint="eastAsia" w:ascii="宋体" w:hAnsi="宋体" w:cs="宋体"/>
                <w:sz w:val="21"/>
                <w:szCs w:val="21"/>
                <w:highlight w:val="none"/>
              </w:rPr>
              <w:t>业绩情况</w:t>
            </w:r>
            <w:r>
              <w:rPr>
                <w:rFonts w:hint="eastAsia" w:ascii="宋体" w:hAnsi="宋体" w:cs="宋体"/>
                <w:sz w:val="21"/>
                <w:szCs w:val="21"/>
                <w:highlight w:val="none"/>
                <w:lang w:eastAsia="zh-CN"/>
              </w:rPr>
              <w:t>）</w:t>
            </w:r>
          </w:p>
        </w:tc>
        <w:tc>
          <w:tcPr>
            <w:tcW w:w="790" w:type="pct"/>
            <w:tcBorders>
              <w:top w:val="nil"/>
              <w:left w:val="nil"/>
              <w:bottom w:val="single" w:color="auto" w:sz="4" w:space="0"/>
              <w:right w:val="single" w:color="auto" w:sz="4" w:space="0"/>
            </w:tcBorders>
            <w:noWrap w:val="0"/>
            <w:vAlign w:val="center"/>
          </w:tcPr>
          <w:p w14:paraId="2F3345AE">
            <w:pPr>
              <w:rPr>
                <w:rFonts w:ascii="宋体" w:hAnsi="宋体" w:cs="宋体"/>
                <w:sz w:val="21"/>
                <w:szCs w:val="21"/>
                <w:highlight w:val="none"/>
              </w:rPr>
            </w:pPr>
            <w:r>
              <w:rPr>
                <w:rFonts w:hint="eastAsia" w:ascii="宋体" w:hAnsi="宋体" w:cs="宋体"/>
                <w:sz w:val="21"/>
                <w:szCs w:val="21"/>
                <w:highlight w:val="none"/>
              </w:rPr>
              <w:t>标准5 分</w:t>
            </w:r>
          </w:p>
        </w:tc>
        <w:tc>
          <w:tcPr>
            <w:tcW w:w="848" w:type="pct"/>
            <w:tcBorders>
              <w:top w:val="nil"/>
              <w:left w:val="nil"/>
              <w:bottom w:val="single" w:color="auto" w:sz="4" w:space="0"/>
              <w:right w:val="single" w:color="auto" w:sz="4" w:space="0"/>
            </w:tcBorders>
            <w:noWrap w:val="0"/>
            <w:vAlign w:val="center"/>
          </w:tcPr>
          <w:p w14:paraId="371B3B4B">
            <w:pPr>
              <w:rPr>
                <w:rFonts w:ascii="宋体" w:hAnsi="宋体" w:cs="宋体"/>
                <w:sz w:val="21"/>
                <w:szCs w:val="21"/>
                <w:highlight w:val="none"/>
              </w:rPr>
            </w:pPr>
            <w:r>
              <w:rPr>
                <w:rFonts w:hint="eastAsia" w:ascii="宋体" w:hAnsi="宋体" w:cs="宋体"/>
                <w:sz w:val="21"/>
                <w:szCs w:val="21"/>
                <w:highlight w:val="none"/>
              </w:rPr>
              <w:t>实得分：</w:t>
            </w:r>
          </w:p>
        </w:tc>
      </w:tr>
      <w:tr w14:paraId="054484E5">
        <w:tblPrEx>
          <w:tblCellMar>
            <w:top w:w="0" w:type="dxa"/>
            <w:left w:w="108" w:type="dxa"/>
            <w:bottom w:w="0" w:type="dxa"/>
            <w:right w:w="108" w:type="dxa"/>
          </w:tblCellMar>
        </w:tblPrEx>
        <w:trPr>
          <w:trHeight w:val="435" w:hRule="atLeast"/>
        </w:trPr>
        <w:tc>
          <w:tcPr>
            <w:tcW w:w="674" w:type="pct"/>
            <w:vMerge w:val="continue"/>
            <w:tcBorders>
              <w:top w:val="nil"/>
              <w:left w:val="single" w:color="auto" w:sz="4" w:space="0"/>
              <w:bottom w:val="single" w:color="auto" w:sz="4" w:space="0"/>
              <w:right w:val="single" w:color="auto" w:sz="4" w:space="0"/>
            </w:tcBorders>
            <w:noWrap w:val="0"/>
            <w:vAlign w:val="center"/>
          </w:tcPr>
          <w:p w14:paraId="687982D3">
            <w:pPr>
              <w:rPr>
                <w:rFonts w:ascii="宋体" w:hAnsi="宋体" w:cs="宋体"/>
                <w:sz w:val="21"/>
                <w:szCs w:val="21"/>
                <w:highlight w:val="none"/>
              </w:rPr>
            </w:pPr>
          </w:p>
        </w:tc>
        <w:tc>
          <w:tcPr>
            <w:tcW w:w="2688" w:type="pct"/>
            <w:gridSpan w:val="4"/>
            <w:tcBorders>
              <w:top w:val="single" w:color="auto" w:sz="4" w:space="0"/>
              <w:left w:val="nil"/>
              <w:bottom w:val="single" w:color="auto" w:sz="4" w:space="0"/>
              <w:right w:val="single" w:color="auto" w:sz="4" w:space="0"/>
            </w:tcBorders>
            <w:noWrap w:val="0"/>
            <w:vAlign w:val="center"/>
          </w:tcPr>
          <w:p w14:paraId="2896B704">
            <w:pPr>
              <w:rPr>
                <w:rFonts w:ascii="宋体" w:hAnsi="宋体" w:cs="宋体"/>
                <w:sz w:val="21"/>
                <w:szCs w:val="21"/>
                <w:highlight w:val="none"/>
              </w:rPr>
            </w:pPr>
            <w:r>
              <w:rPr>
                <w:rFonts w:hint="eastAsia" w:ascii="宋体" w:hAnsi="宋体" w:cs="宋体"/>
                <w:sz w:val="21"/>
                <w:szCs w:val="21"/>
                <w:highlight w:val="none"/>
              </w:rPr>
              <w:t>2、合作协调配合的主动性</w:t>
            </w:r>
          </w:p>
        </w:tc>
        <w:tc>
          <w:tcPr>
            <w:tcW w:w="790" w:type="pct"/>
            <w:tcBorders>
              <w:top w:val="nil"/>
              <w:left w:val="nil"/>
              <w:bottom w:val="single" w:color="auto" w:sz="4" w:space="0"/>
              <w:right w:val="single" w:color="auto" w:sz="4" w:space="0"/>
            </w:tcBorders>
            <w:noWrap w:val="0"/>
            <w:vAlign w:val="center"/>
          </w:tcPr>
          <w:p w14:paraId="1A45E7BC">
            <w:pPr>
              <w:rPr>
                <w:rFonts w:ascii="宋体" w:hAnsi="宋体" w:cs="宋体"/>
                <w:sz w:val="21"/>
                <w:szCs w:val="21"/>
                <w:highlight w:val="none"/>
              </w:rPr>
            </w:pPr>
            <w:r>
              <w:rPr>
                <w:rFonts w:hint="eastAsia" w:ascii="宋体" w:hAnsi="宋体" w:cs="宋体"/>
                <w:sz w:val="21"/>
                <w:szCs w:val="21"/>
                <w:highlight w:val="none"/>
              </w:rPr>
              <w:t>标准15 分</w:t>
            </w:r>
          </w:p>
        </w:tc>
        <w:tc>
          <w:tcPr>
            <w:tcW w:w="848" w:type="pct"/>
            <w:tcBorders>
              <w:top w:val="nil"/>
              <w:left w:val="nil"/>
              <w:bottom w:val="single" w:color="auto" w:sz="4" w:space="0"/>
              <w:right w:val="single" w:color="auto" w:sz="4" w:space="0"/>
            </w:tcBorders>
            <w:noWrap w:val="0"/>
            <w:vAlign w:val="center"/>
          </w:tcPr>
          <w:p w14:paraId="75634093">
            <w:pPr>
              <w:rPr>
                <w:rFonts w:ascii="宋体" w:hAnsi="宋体" w:cs="宋体"/>
                <w:sz w:val="21"/>
                <w:szCs w:val="21"/>
                <w:highlight w:val="none"/>
              </w:rPr>
            </w:pPr>
            <w:r>
              <w:rPr>
                <w:rFonts w:hint="eastAsia" w:ascii="宋体" w:hAnsi="宋体" w:cs="宋体"/>
                <w:sz w:val="21"/>
                <w:szCs w:val="21"/>
                <w:highlight w:val="none"/>
              </w:rPr>
              <w:t>实得分：</w:t>
            </w:r>
          </w:p>
        </w:tc>
      </w:tr>
      <w:tr w14:paraId="27C7FB6B">
        <w:tblPrEx>
          <w:tblCellMar>
            <w:top w:w="0" w:type="dxa"/>
            <w:left w:w="108" w:type="dxa"/>
            <w:bottom w:w="0" w:type="dxa"/>
            <w:right w:w="108" w:type="dxa"/>
          </w:tblCellMar>
        </w:tblPrEx>
        <w:trPr>
          <w:trHeight w:val="435" w:hRule="atLeast"/>
        </w:trPr>
        <w:tc>
          <w:tcPr>
            <w:tcW w:w="674" w:type="pct"/>
            <w:vMerge w:val="continue"/>
            <w:tcBorders>
              <w:top w:val="nil"/>
              <w:left w:val="single" w:color="auto" w:sz="4" w:space="0"/>
              <w:bottom w:val="single" w:color="auto" w:sz="4" w:space="0"/>
              <w:right w:val="single" w:color="auto" w:sz="4" w:space="0"/>
            </w:tcBorders>
            <w:noWrap w:val="0"/>
            <w:vAlign w:val="center"/>
          </w:tcPr>
          <w:p w14:paraId="0C266AD3">
            <w:pPr>
              <w:rPr>
                <w:rFonts w:ascii="宋体" w:hAnsi="宋体" w:cs="宋体"/>
                <w:sz w:val="21"/>
                <w:szCs w:val="21"/>
                <w:highlight w:val="none"/>
              </w:rPr>
            </w:pPr>
          </w:p>
        </w:tc>
        <w:tc>
          <w:tcPr>
            <w:tcW w:w="2688" w:type="pct"/>
            <w:gridSpan w:val="4"/>
            <w:tcBorders>
              <w:top w:val="single" w:color="auto" w:sz="4" w:space="0"/>
              <w:left w:val="nil"/>
              <w:bottom w:val="single" w:color="auto" w:sz="4" w:space="0"/>
              <w:right w:val="single" w:color="auto" w:sz="4" w:space="0"/>
            </w:tcBorders>
            <w:noWrap w:val="0"/>
            <w:vAlign w:val="center"/>
          </w:tcPr>
          <w:p w14:paraId="036D02F7">
            <w:pPr>
              <w:rPr>
                <w:rFonts w:ascii="宋体" w:hAnsi="宋体" w:cs="宋体"/>
                <w:sz w:val="21"/>
                <w:szCs w:val="21"/>
                <w:highlight w:val="none"/>
              </w:rPr>
            </w:pPr>
            <w:r>
              <w:rPr>
                <w:rFonts w:hint="eastAsia" w:ascii="宋体" w:hAnsi="宋体" w:cs="宋体"/>
                <w:sz w:val="21"/>
                <w:szCs w:val="21"/>
                <w:highlight w:val="none"/>
              </w:rPr>
              <w:t>3、问题整改的响应程度</w:t>
            </w:r>
          </w:p>
        </w:tc>
        <w:tc>
          <w:tcPr>
            <w:tcW w:w="790" w:type="pct"/>
            <w:tcBorders>
              <w:top w:val="nil"/>
              <w:left w:val="nil"/>
              <w:bottom w:val="single" w:color="auto" w:sz="4" w:space="0"/>
              <w:right w:val="single" w:color="auto" w:sz="4" w:space="0"/>
            </w:tcBorders>
            <w:noWrap w:val="0"/>
            <w:vAlign w:val="center"/>
          </w:tcPr>
          <w:p w14:paraId="0A0339D4">
            <w:pPr>
              <w:rPr>
                <w:rFonts w:ascii="宋体" w:hAnsi="宋体" w:cs="宋体"/>
                <w:sz w:val="21"/>
                <w:szCs w:val="21"/>
                <w:highlight w:val="none"/>
              </w:rPr>
            </w:pPr>
            <w:r>
              <w:rPr>
                <w:rFonts w:hint="eastAsia" w:ascii="宋体" w:hAnsi="宋体" w:cs="宋体"/>
                <w:sz w:val="21"/>
                <w:szCs w:val="21"/>
                <w:highlight w:val="none"/>
              </w:rPr>
              <w:t>标准15 分</w:t>
            </w:r>
          </w:p>
        </w:tc>
        <w:tc>
          <w:tcPr>
            <w:tcW w:w="848" w:type="pct"/>
            <w:tcBorders>
              <w:top w:val="nil"/>
              <w:left w:val="nil"/>
              <w:bottom w:val="single" w:color="auto" w:sz="4" w:space="0"/>
              <w:right w:val="single" w:color="auto" w:sz="4" w:space="0"/>
            </w:tcBorders>
            <w:noWrap w:val="0"/>
            <w:vAlign w:val="center"/>
          </w:tcPr>
          <w:p w14:paraId="317DEE72">
            <w:pPr>
              <w:rPr>
                <w:rFonts w:ascii="宋体" w:hAnsi="宋体" w:cs="宋体"/>
                <w:sz w:val="21"/>
                <w:szCs w:val="21"/>
                <w:highlight w:val="none"/>
              </w:rPr>
            </w:pPr>
            <w:r>
              <w:rPr>
                <w:rFonts w:hint="eastAsia" w:ascii="宋体" w:hAnsi="宋体" w:cs="宋体"/>
                <w:sz w:val="21"/>
                <w:szCs w:val="21"/>
                <w:highlight w:val="none"/>
              </w:rPr>
              <w:t>实得分：</w:t>
            </w:r>
          </w:p>
        </w:tc>
      </w:tr>
      <w:tr w14:paraId="26AD9284">
        <w:tblPrEx>
          <w:tblCellMar>
            <w:top w:w="0" w:type="dxa"/>
            <w:left w:w="108" w:type="dxa"/>
            <w:bottom w:w="0" w:type="dxa"/>
            <w:right w:w="108" w:type="dxa"/>
          </w:tblCellMar>
        </w:tblPrEx>
        <w:trPr>
          <w:trHeight w:val="435" w:hRule="atLeast"/>
        </w:trPr>
        <w:tc>
          <w:tcPr>
            <w:tcW w:w="674" w:type="pct"/>
            <w:vMerge w:val="continue"/>
            <w:tcBorders>
              <w:top w:val="nil"/>
              <w:left w:val="single" w:color="auto" w:sz="4" w:space="0"/>
              <w:bottom w:val="single" w:color="auto" w:sz="4" w:space="0"/>
              <w:right w:val="single" w:color="auto" w:sz="4" w:space="0"/>
            </w:tcBorders>
            <w:noWrap w:val="0"/>
            <w:vAlign w:val="center"/>
          </w:tcPr>
          <w:p w14:paraId="69260388">
            <w:pPr>
              <w:rPr>
                <w:rFonts w:ascii="宋体" w:hAnsi="宋体" w:cs="宋体"/>
                <w:sz w:val="21"/>
                <w:szCs w:val="21"/>
                <w:highlight w:val="none"/>
              </w:rPr>
            </w:pPr>
          </w:p>
        </w:tc>
        <w:tc>
          <w:tcPr>
            <w:tcW w:w="2688" w:type="pct"/>
            <w:gridSpan w:val="4"/>
            <w:tcBorders>
              <w:top w:val="single" w:color="auto" w:sz="4" w:space="0"/>
              <w:left w:val="nil"/>
              <w:bottom w:val="single" w:color="auto" w:sz="4" w:space="0"/>
              <w:right w:val="single" w:color="auto" w:sz="4" w:space="0"/>
            </w:tcBorders>
            <w:noWrap w:val="0"/>
            <w:vAlign w:val="center"/>
          </w:tcPr>
          <w:p w14:paraId="682965A1">
            <w:pPr>
              <w:rPr>
                <w:rFonts w:ascii="宋体" w:hAnsi="宋体" w:cs="宋体"/>
                <w:sz w:val="21"/>
                <w:szCs w:val="21"/>
                <w:highlight w:val="none"/>
              </w:rPr>
            </w:pPr>
            <w:r>
              <w:rPr>
                <w:rFonts w:hint="eastAsia" w:ascii="宋体" w:hAnsi="宋体" w:cs="宋体"/>
                <w:sz w:val="21"/>
                <w:szCs w:val="21"/>
                <w:highlight w:val="none"/>
              </w:rPr>
              <w:t>4、提供产品质量优劣程度、成品、半成品保护情况</w:t>
            </w:r>
          </w:p>
        </w:tc>
        <w:tc>
          <w:tcPr>
            <w:tcW w:w="790" w:type="pct"/>
            <w:tcBorders>
              <w:top w:val="nil"/>
              <w:left w:val="nil"/>
              <w:bottom w:val="single" w:color="auto" w:sz="4" w:space="0"/>
              <w:right w:val="single" w:color="auto" w:sz="4" w:space="0"/>
            </w:tcBorders>
            <w:noWrap w:val="0"/>
            <w:vAlign w:val="center"/>
          </w:tcPr>
          <w:p w14:paraId="028C8CA2">
            <w:pPr>
              <w:rPr>
                <w:rFonts w:ascii="宋体" w:hAnsi="宋体" w:cs="宋体"/>
                <w:sz w:val="21"/>
                <w:szCs w:val="21"/>
                <w:highlight w:val="none"/>
              </w:rPr>
            </w:pPr>
            <w:r>
              <w:rPr>
                <w:rFonts w:hint="eastAsia" w:ascii="宋体" w:hAnsi="宋体" w:cs="宋体"/>
                <w:sz w:val="21"/>
                <w:szCs w:val="21"/>
                <w:highlight w:val="none"/>
              </w:rPr>
              <w:t>标准20 分</w:t>
            </w:r>
          </w:p>
        </w:tc>
        <w:tc>
          <w:tcPr>
            <w:tcW w:w="848" w:type="pct"/>
            <w:tcBorders>
              <w:top w:val="nil"/>
              <w:left w:val="nil"/>
              <w:bottom w:val="single" w:color="auto" w:sz="4" w:space="0"/>
              <w:right w:val="single" w:color="auto" w:sz="4" w:space="0"/>
            </w:tcBorders>
            <w:noWrap w:val="0"/>
            <w:vAlign w:val="center"/>
          </w:tcPr>
          <w:p w14:paraId="21F45E8C">
            <w:pPr>
              <w:rPr>
                <w:rFonts w:ascii="宋体" w:hAnsi="宋体" w:cs="宋体"/>
                <w:sz w:val="21"/>
                <w:szCs w:val="21"/>
                <w:highlight w:val="none"/>
              </w:rPr>
            </w:pPr>
            <w:r>
              <w:rPr>
                <w:rFonts w:hint="eastAsia" w:ascii="宋体" w:hAnsi="宋体" w:cs="宋体"/>
                <w:sz w:val="21"/>
                <w:szCs w:val="21"/>
                <w:highlight w:val="none"/>
              </w:rPr>
              <w:t>实得分：</w:t>
            </w:r>
          </w:p>
        </w:tc>
      </w:tr>
      <w:tr w14:paraId="6D9A030E">
        <w:tblPrEx>
          <w:tblCellMar>
            <w:top w:w="0" w:type="dxa"/>
            <w:left w:w="108" w:type="dxa"/>
            <w:bottom w:w="0" w:type="dxa"/>
            <w:right w:w="108" w:type="dxa"/>
          </w:tblCellMar>
        </w:tblPrEx>
        <w:trPr>
          <w:trHeight w:val="435" w:hRule="atLeast"/>
        </w:trPr>
        <w:tc>
          <w:tcPr>
            <w:tcW w:w="674" w:type="pct"/>
            <w:vMerge w:val="continue"/>
            <w:tcBorders>
              <w:top w:val="nil"/>
              <w:left w:val="single" w:color="auto" w:sz="4" w:space="0"/>
              <w:bottom w:val="single" w:color="auto" w:sz="4" w:space="0"/>
              <w:right w:val="single" w:color="auto" w:sz="4" w:space="0"/>
            </w:tcBorders>
            <w:noWrap w:val="0"/>
            <w:vAlign w:val="center"/>
          </w:tcPr>
          <w:p w14:paraId="56F85778">
            <w:pPr>
              <w:rPr>
                <w:rFonts w:ascii="宋体" w:hAnsi="宋体" w:cs="宋体"/>
                <w:sz w:val="21"/>
                <w:szCs w:val="21"/>
                <w:highlight w:val="none"/>
              </w:rPr>
            </w:pPr>
          </w:p>
        </w:tc>
        <w:tc>
          <w:tcPr>
            <w:tcW w:w="2688" w:type="pct"/>
            <w:gridSpan w:val="4"/>
            <w:tcBorders>
              <w:top w:val="single" w:color="auto" w:sz="4" w:space="0"/>
              <w:left w:val="nil"/>
              <w:bottom w:val="single" w:color="auto" w:sz="4" w:space="0"/>
              <w:right w:val="single" w:color="auto" w:sz="4" w:space="0"/>
            </w:tcBorders>
            <w:noWrap w:val="0"/>
            <w:vAlign w:val="center"/>
          </w:tcPr>
          <w:p w14:paraId="7E6AA834">
            <w:pPr>
              <w:rPr>
                <w:rFonts w:ascii="宋体" w:hAnsi="宋体" w:cs="宋体"/>
                <w:sz w:val="21"/>
                <w:szCs w:val="21"/>
                <w:highlight w:val="none"/>
              </w:rPr>
            </w:pPr>
            <w:r>
              <w:rPr>
                <w:rFonts w:hint="eastAsia" w:ascii="宋体" w:hAnsi="宋体" w:cs="宋体"/>
                <w:sz w:val="21"/>
                <w:szCs w:val="21"/>
                <w:highlight w:val="none"/>
              </w:rPr>
              <w:t>5、管理水平</w:t>
            </w:r>
            <w:r>
              <w:rPr>
                <w:rFonts w:hint="eastAsia" w:ascii="宋体" w:hAnsi="宋体" w:cs="宋体"/>
                <w:sz w:val="21"/>
                <w:szCs w:val="21"/>
                <w:highlight w:val="none"/>
                <w:lang w:eastAsia="zh-CN"/>
              </w:rPr>
              <w:t>（</w:t>
            </w:r>
            <w:r>
              <w:rPr>
                <w:rFonts w:hint="eastAsia" w:ascii="宋体" w:hAnsi="宋体" w:cs="宋体"/>
                <w:sz w:val="21"/>
                <w:szCs w:val="21"/>
                <w:highlight w:val="none"/>
              </w:rPr>
              <w:t>制度、管理人员素质、现场执行能力等</w:t>
            </w:r>
            <w:r>
              <w:rPr>
                <w:rFonts w:hint="eastAsia" w:ascii="宋体" w:hAnsi="宋体" w:cs="宋体"/>
                <w:sz w:val="21"/>
                <w:szCs w:val="21"/>
                <w:highlight w:val="none"/>
                <w:lang w:eastAsia="zh-CN"/>
              </w:rPr>
              <w:t>）</w:t>
            </w:r>
          </w:p>
        </w:tc>
        <w:tc>
          <w:tcPr>
            <w:tcW w:w="790" w:type="pct"/>
            <w:tcBorders>
              <w:top w:val="nil"/>
              <w:left w:val="nil"/>
              <w:bottom w:val="single" w:color="auto" w:sz="4" w:space="0"/>
              <w:right w:val="single" w:color="auto" w:sz="4" w:space="0"/>
            </w:tcBorders>
            <w:noWrap w:val="0"/>
            <w:vAlign w:val="center"/>
          </w:tcPr>
          <w:p w14:paraId="03A72FFD">
            <w:pPr>
              <w:rPr>
                <w:rFonts w:ascii="宋体" w:hAnsi="宋体" w:cs="宋体"/>
                <w:sz w:val="21"/>
                <w:szCs w:val="21"/>
                <w:highlight w:val="none"/>
              </w:rPr>
            </w:pPr>
            <w:r>
              <w:rPr>
                <w:rFonts w:hint="eastAsia" w:ascii="宋体" w:hAnsi="宋体" w:cs="宋体"/>
                <w:sz w:val="21"/>
                <w:szCs w:val="21"/>
                <w:highlight w:val="none"/>
              </w:rPr>
              <w:t>标准10 分</w:t>
            </w:r>
          </w:p>
        </w:tc>
        <w:tc>
          <w:tcPr>
            <w:tcW w:w="848" w:type="pct"/>
            <w:tcBorders>
              <w:top w:val="nil"/>
              <w:left w:val="nil"/>
              <w:bottom w:val="single" w:color="auto" w:sz="4" w:space="0"/>
              <w:right w:val="single" w:color="auto" w:sz="4" w:space="0"/>
            </w:tcBorders>
            <w:noWrap w:val="0"/>
            <w:vAlign w:val="center"/>
          </w:tcPr>
          <w:p w14:paraId="5ABE1559">
            <w:pPr>
              <w:rPr>
                <w:rFonts w:ascii="宋体" w:hAnsi="宋体" w:cs="宋体"/>
                <w:sz w:val="21"/>
                <w:szCs w:val="21"/>
                <w:highlight w:val="none"/>
              </w:rPr>
            </w:pPr>
            <w:r>
              <w:rPr>
                <w:rFonts w:hint="eastAsia" w:ascii="宋体" w:hAnsi="宋体" w:cs="宋体"/>
                <w:sz w:val="21"/>
                <w:szCs w:val="21"/>
                <w:highlight w:val="none"/>
              </w:rPr>
              <w:t>实得分：</w:t>
            </w:r>
          </w:p>
        </w:tc>
      </w:tr>
      <w:tr w14:paraId="676488E5">
        <w:tblPrEx>
          <w:tblCellMar>
            <w:top w:w="0" w:type="dxa"/>
            <w:left w:w="108" w:type="dxa"/>
            <w:bottom w:w="0" w:type="dxa"/>
            <w:right w:w="108" w:type="dxa"/>
          </w:tblCellMar>
        </w:tblPrEx>
        <w:trPr>
          <w:trHeight w:val="435" w:hRule="atLeast"/>
        </w:trPr>
        <w:tc>
          <w:tcPr>
            <w:tcW w:w="674" w:type="pct"/>
            <w:vMerge w:val="continue"/>
            <w:tcBorders>
              <w:top w:val="nil"/>
              <w:left w:val="single" w:color="auto" w:sz="4" w:space="0"/>
              <w:bottom w:val="single" w:color="auto" w:sz="4" w:space="0"/>
              <w:right w:val="single" w:color="auto" w:sz="4" w:space="0"/>
            </w:tcBorders>
            <w:noWrap w:val="0"/>
            <w:vAlign w:val="center"/>
          </w:tcPr>
          <w:p w14:paraId="7BED15E5">
            <w:pPr>
              <w:rPr>
                <w:rFonts w:ascii="宋体" w:hAnsi="宋体" w:cs="宋体"/>
                <w:sz w:val="21"/>
                <w:szCs w:val="21"/>
                <w:highlight w:val="none"/>
              </w:rPr>
            </w:pPr>
          </w:p>
        </w:tc>
        <w:tc>
          <w:tcPr>
            <w:tcW w:w="2688" w:type="pct"/>
            <w:gridSpan w:val="4"/>
            <w:tcBorders>
              <w:top w:val="single" w:color="auto" w:sz="4" w:space="0"/>
              <w:left w:val="nil"/>
              <w:bottom w:val="single" w:color="auto" w:sz="4" w:space="0"/>
              <w:right w:val="single" w:color="auto" w:sz="4" w:space="0"/>
            </w:tcBorders>
            <w:noWrap w:val="0"/>
            <w:vAlign w:val="center"/>
          </w:tcPr>
          <w:p w14:paraId="7D2FDEE9">
            <w:pPr>
              <w:rPr>
                <w:rFonts w:ascii="宋体" w:hAnsi="宋体" w:cs="宋体"/>
                <w:sz w:val="21"/>
                <w:szCs w:val="21"/>
                <w:highlight w:val="none"/>
              </w:rPr>
            </w:pPr>
            <w:r>
              <w:rPr>
                <w:rFonts w:hint="eastAsia" w:ascii="宋体" w:hAnsi="宋体" w:cs="宋体"/>
                <w:sz w:val="21"/>
                <w:szCs w:val="21"/>
                <w:highlight w:val="none"/>
              </w:rPr>
              <w:t>6、专业技术能力</w:t>
            </w:r>
            <w:r>
              <w:rPr>
                <w:rFonts w:hint="eastAsia" w:ascii="宋体" w:hAnsi="宋体" w:cs="宋体"/>
                <w:sz w:val="21"/>
                <w:szCs w:val="21"/>
                <w:highlight w:val="none"/>
                <w:lang w:eastAsia="zh-CN"/>
              </w:rPr>
              <w:t>（</w:t>
            </w:r>
            <w:r>
              <w:rPr>
                <w:rFonts w:hint="eastAsia" w:ascii="宋体" w:hAnsi="宋体" w:cs="宋体"/>
                <w:sz w:val="21"/>
                <w:szCs w:val="21"/>
                <w:highlight w:val="none"/>
              </w:rPr>
              <w:t>规模、装备水平、现场人员变动</w:t>
            </w:r>
            <w:r>
              <w:rPr>
                <w:rFonts w:hint="eastAsia" w:ascii="宋体" w:hAnsi="宋体" w:cs="宋体"/>
                <w:sz w:val="21"/>
                <w:szCs w:val="21"/>
                <w:highlight w:val="none"/>
                <w:lang w:eastAsia="zh-CN"/>
              </w:rPr>
              <w:t>）</w:t>
            </w:r>
          </w:p>
        </w:tc>
        <w:tc>
          <w:tcPr>
            <w:tcW w:w="790" w:type="pct"/>
            <w:tcBorders>
              <w:top w:val="nil"/>
              <w:left w:val="nil"/>
              <w:bottom w:val="single" w:color="auto" w:sz="4" w:space="0"/>
              <w:right w:val="single" w:color="auto" w:sz="4" w:space="0"/>
            </w:tcBorders>
            <w:noWrap w:val="0"/>
            <w:vAlign w:val="center"/>
          </w:tcPr>
          <w:p w14:paraId="4001EBE2">
            <w:pPr>
              <w:rPr>
                <w:rFonts w:ascii="宋体" w:hAnsi="宋体" w:cs="宋体"/>
                <w:sz w:val="21"/>
                <w:szCs w:val="21"/>
                <w:highlight w:val="none"/>
              </w:rPr>
            </w:pPr>
            <w:r>
              <w:rPr>
                <w:rFonts w:hint="eastAsia" w:ascii="宋体" w:hAnsi="宋体" w:cs="宋体"/>
                <w:sz w:val="21"/>
                <w:szCs w:val="21"/>
                <w:highlight w:val="none"/>
              </w:rPr>
              <w:t>标准10 分</w:t>
            </w:r>
          </w:p>
        </w:tc>
        <w:tc>
          <w:tcPr>
            <w:tcW w:w="848" w:type="pct"/>
            <w:tcBorders>
              <w:top w:val="nil"/>
              <w:left w:val="nil"/>
              <w:bottom w:val="single" w:color="auto" w:sz="4" w:space="0"/>
              <w:right w:val="single" w:color="auto" w:sz="4" w:space="0"/>
            </w:tcBorders>
            <w:noWrap w:val="0"/>
            <w:vAlign w:val="center"/>
          </w:tcPr>
          <w:p w14:paraId="78A541E3">
            <w:pPr>
              <w:rPr>
                <w:rFonts w:ascii="宋体" w:hAnsi="宋体" w:cs="宋体"/>
                <w:sz w:val="21"/>
                <w:szCs w:val="21"/>
                <w:highlight w:val="none"/>
              </w:rPr>
            </w:pPr>
            <w:r>
              <w:rPr>
                <w:rFonts w:hint="eastAsia" w:ascii="宋体" w:hAnsi="宋体" w:cs="宋体"/>
                <w:sz w:val="21"/>
                <w:szCs w:val="21"/>
                <w:highlight w:val="none"/>
              </w:rPr>
              <w:t>实得分：</w:t>
            </w:r>
          </w:p>
        </w:tc>
      </w:tr>
      <w:tr w14:paraId="753946D3">
        <w:tblPrEx>
          <w:tblCellMar>
            <w:top w:w="0" w:type="dxa"/>
            <w:left w:w="108" w:type="dxa"/>
            <w:bottom w:w="0" w:type="dxa"/>
            <w:right w:w="108" w:type="dxa"/>
          </w:tblCellMar>
        </w:tblPrEx>
        <w:trPr>
          <w:trHeight w:val="435" w:hRule="atLeast"/>
        </w:trPr>
        <w:tc>
          <w:tcPr>
            <w:tcW w:w="674" w:type="pct"/>
            <w:vMerge w:val="continue"/>
            <w:tcBorders>
              <w:top w:val="nil"/>
              <w:left w:val="single" w:color="auto" w:sz="4" w:space="0"/>
              <w:bottom w:val="single" w:color="auto" w:sz="4" w:space="0"/>
              <w:right w:val="single" w:color="auto" w:sz="4" w:space="0"/>
            </w:tcBorders>
            <w:noWrap w:val="0"/>
            <w:vAlign w:val="center"/>
          </w:tcPr>
          <w:p w14:paraId="1AF642CA">
            <w:pPr>
              <w:rPr>
                <w:rFonts w:ascii="宋体" w:hAnsi="宋体" w:cs="宋体"/>
                <w:sz w:val="21"/>
                <w:szCs w:val="21"/>
                <w:highlight w:val="none"/>
              </w:rPr>
            </w:pPr>
          </w:p>
        </w:tc>
        <w:tc>
          <w:tcPr>
            <w:tcW w:w="2688" w:type="pct"/>
            <w:gridSpan w:val="4"/>
            <w:tcBorders>
              <w:top w:val="single" w:color="auto" w:sz="4" w:space="0"/>
              <w:left w:val="nil"/>
              <w:bottom w:val="single" w:color="auto" w:sz="4" w:space="0"/>
              <w:right w:val="single" w:color="auto" w:sz="4" w:space="0"/>
            </w:tcBorders>
            <w:noWrap w:val="0"/>
            <w:vAlign w:val="center"/>
          </w:tcPr>
          <w:p w14:paraId="7AA14672">
            <w:pPr>
              <w:rPr>
                <w:rFonts w:ascii="宋体" w:hAnsi="宋体" w:cs="宋体"/>
                <w:sz w:val="21"/>
                <w:szCs w:val="21"/>
                <w:highlight w:val="none"/>
              </w:rPr>
            </w:pPr>
            <w:r>
              <w:rPr>
                <w:rFonts w:hint="eastAsia" w:ascii="宋体" w:hAnsi="宋体" w:cs="宋体"/>
                <w:sz w:val="21"/>
                <w:szCs w:val="21"/>
                <w:highlight w:val="none"/>
              </w:rPr>
              <w:t>7、财务状况、结算的配合程度</w:t>
            </w:r>
          </w:p>
        </w:tc>
        <w:tc>
          <w:tcPr>
            <w:tcW w:w="790" w:type="pct"/>
            <w:tcBorders>
              <w:top w:val="nil"/>
              <w:left w:val="nil"/>
              <w:bottom w:val="single" w:color="auto" w:sz="4" w:space="0"/>
              <w:right w:val="single" w:color="auto" w:sz="4" w:space="0"/>
            </w:tcBorders>
            <w:noWrap w:val="0"/>
            <w:vAlign w:val="center"/>
          </w:tcPr>
          <w:p w14:paraId="1E5F1802">
            <w:pPr>
              <w:rPr>
                <w:rFonts w:ascii="宋体" w:hAnsi="宋体" w:cs="宋体"/>
                <w:sz w:val="21"/>
                <w:szCs w:val="21"/>
                <w:highlight w:val="none"/>
              </w:rPr>
            </w:pPr>
            <w:r>
              <w:rPr>
                <w:rFonts w:hint="eastAsia" w:ascii="宋体" w:hAnsi="宋体" w:cs="宋体"/>
                <w:sz w:val="21"/>
                <w:szCs w:val="21"/>
                <w:highlight w:val="none"/>
              </w:rPr>
              <w:t>标准10 分</w:t>
            </w:r>
          </w:p>
        </w:tc>
        <w:tc>
          <w:tcPr>
            <w:tcW w:w="848" w:type="pct"/>
            <w:tcBorders>
              <w:top w:val="nil"/>
              <w:left w:val="nil"/>
              <w:bottom w:val="single" w:color="auto" w:sz="4" w:space="0"/>
              <w:right w:val="single" w:color="auto" w:sz="4" w:space="0"/>
            </w:tcBorders>
            <w:noWrap w:val="0"/>
            <w:vAlign w:val="center"/>
          </w:tcPr>
          <w:p w14:paraId="49D24F82">
            <w:pPr>
              <w:rPr>
                <w:rFonts w:ascii="宋体" w:hAnsi="宋体" w:cs="宋体"/>
                <w:sz w:val="21"/>
                <w:szCs w:val="21"/>
                <w:highlight w:val="none"/>
              </w:rPr>
            </w:pPr>
            <w:r>
              <w:rPr>
                <w:rFonts w:hint="eastAsia" w:ascii="宋体" w:hAnsi="宋体" w:cs="宋体"/>
                <w:sz w:val="21"/>
                <w:szCs w:val="21"/>
                <w:highlight w:val="none"/>
              </w:rPr>
              <w:t>实得分：</w:t>
            </w:r>
          </w:p>
        </w:tc>
      </w:tr>
      <w:tr w14:paraId="61242265">
        <w:tblPrEx>
          <w:tblCellMar>
            <w:top w:w="0" w:type="dxa"/>
            <w:left w:w="108" w:type="dxa"/>
            <w:bottom w:w="0" w:type="dxa"/>
            <w:right w:w="108" w:type="dxa"/>
          </w:tblCellMar>
        </w:tblPrEx>
        <w:trPr>
          <w:trHeight w:val="435" w:hRule="atLeast"/>
        </w:trPr>
        <w:tc>
          <w:tcPr>
            <w:tcW w:w="674" w:type="pct"/>
            <w:vMerge w:val="continue"/>
            <w:tcBorders>
              <w:top w:val="nil"/>
              <w:left w:val="single" w:color="auto" w:sz="4" w:space="0"/>
              <w:bottom w:val="single" w:color="auto" w:sz="4" w:space="0"/>
              <w:right w:val="single" w:color="auto" w:sz="4" w:space="0"/>
            </w:tcBorders>
            <w:noWrap w:val="0"/>
            <w:vAlign w:val="center"/>
          </w:tcPr>
          <w:p w14:paraId="06CBBEAF">
            <w:pPr>
              <w:rPr>
                <w:rFonts w:ascii="宋体" w:hAnsi="宋体" w:cs="宋体"/>
                <w:sz w:val="21"/>
                <w:szCs w:val="21"/>
                <w:highlight w:val="none"/>
              </w:rPr>
            </w:pPr>
          </w:p>
        </w:tc>
        <w:tc>
          <w:tcPr>
            <w:tcW w:w="2688" w:type="pct"/>
            <w:gridSpan w:val="4"/>
            <w:tcBorders>
              <w:top w:val="single" w:color="auto" w:sz="4" w:space="0"/>
              <w:left w:val="nil"/>
              <w:bottom w:val="single" w:color="auto" w:sz="4" w:space="0"/>
              <w:right w:val="single" w:color="auto" w:sz="4" w:space="0"/>
            </w:tcBorders>
            <w:noWrap w:val="0"/>
            <w:vAlign w:val="center"/>
          </w:tcPr>
          <w:p w14:paraId="2B8DAE40">
            <w:pPr>
              <w:rPr>
                <w:rFonts w:ascii="宋体" w:hAnsi="宋体" w:cs="宋体"/>
                <w:sz w:val="21"/>
                <w:szCs w:val="21"/>
                <w:highlight w:val="none"/>
              </w:rPr>
            </w:pPr>
            <w:r>
              <w:rPr>
                <w:rFonts w:hint="eastAsia" w:ascii="宋体" w:hAnsi="宋体" w:cs="宋体"/>
                <w:sz w:val="21"/>
                <w:szCs w:val="21"/>
                <w:highlight w:val="none"/>
              </w:rPr>
              <w:t>8、售后服务的态度、质量</w:t>
            </w:r>
          </w:p>
        </w:tc>
        <w:tc>
          <w:tcPr>
            <w:tcW w:w="790" w:type="pct"/>
            <w:tcBorders>
              <w:top w:val="nil"/>
              <w:left w:val="nil"/>
              <w:bottom w:val="single" w:color="auto" w:sz="4" w:space="0"/>
              <w:right w:val="single" w:color="auto" w:sz="4" w:space="0"/>
            </w:tcBorders>
            <w:noWrap w:val="0"/>
            <w:vAlign w:val="center"/>
          </w:tcPr>
          <w:p w14:paraId="1371B8D4">
            <w:pPr>
              <w:rPr>
                <w:rFonts w:ascii="宋体" w:hAnsi="宋体" w:cs="宋体"/>
                <w:sz w:val="21"/>
                <w:szCs w:val="21"/>
                <w:highlight w:val="none"/>
              </w:rPr>
            </w:pPr>
            <w:r>
              <w:rPr>
                <w:rFonts w:hint="eastAsia" w:ascii="宋体" w:hAnsi="宋体" w:cs="宋体"/>
                <w:sz w:val="21"/>
                <w:szCs w:val="21"/>
                <w:highlight w:val="none"/>
              </w:rPr>
              <w:t>标准10 分</w:t>
            </w:r>
          </w:p>
        </w:tc>
        <w:tc>
          <w:tcPr>
            <w:tcW w:w="848" w:type="pct"/>
            <w:tcBorders>
              <w:top w:val="nil"/>
              <w:left w:val="nil"/>
              <w:bottom w:val="single" w:color="auto" w:sz="4" w:space="0"/>
              <w:right w:val="single" w:color="auto" w:sz="4" w:space="0"/>
            </w:tcBorders>
            <w:noWrap w:val="0"/>
            <w:vAlign w:val="center"/>
          </w:tcPr>
          <w:p w14:paraId="5C2F3E2E">
            <w:pPr>
              <w:rPr>
                <w:rFonts w:ascii="宋体" w:hAnsi="宋体" w:cs="宋体"/>
                <w:sz w:val="21"/>
                <w:szCs w:val="21"/>
                <w:highlight w:val="none"/>
              </w:rPr>
            </w:pPr>
            <w:r>
              <w:rPr>
                <w:rFonts w:hint="eastAsia" w:ascii="宋体" w:hAnsi="宋体" w:cs="宋体"/>
                <w:sz w:val="21"/>
                <w:szCs w:val="21"/>
                <w:highlight w:val="none"/>
              </w:rPr>
              <w:t>实得分：</w:t>
            </w:r>
          </w:p>
        </w:tc>
      </w:tr>
      <w:tr w14:paraId="54EAC693">
        <w:tblPrEx>
          <w:tblCellMar>
            <w:top w:w="0" w:type="dxa"/>
            <w:left w:w="108" w:type="dxa"/>
            <w:bottom w:w="0" w:type="dxa"/>
            <w:right w:w="108" w:type="dxa"/>
          </w:tblCellMar>
        </w:tblPrEx>
        <w:trPr>
          <w:trHeight w:val="435" w:hRule="atLeast"/>
        </w:trPr>
        <w:tc>
          <w:tcPr>
            <w:tcW w:w="674" w:type="pct"/>
            <w:vMerge w:val="continue"/>
            <w:tcBorders>
              <w:top w:val="nil"/>
              <w:left w:val="single" w:color="auto" w:sz="4" w:space="0"/>
              <w:bottom w:val="single" w:color="auto" w:sz="4" w:space="0"/>
              <w:right w:val="single" w:color="auto" w:sz="4" w:space="0"/>
            </w:tcBorders>
            <w:noWrap w:val="0"/>
            <w:vAlign w:val="center"/>
          </w:tcPr>
          <w:p w14:paraId="23DD844B">
            <w:pPr>
              <w:rPr>
                <w:rFonts w:ascii="宋体" w:hAnsi="宋体" w:cs="宋体"/>
                <w:sz w:val="21"/>
                <w:szCs w:val="21"/>
                <w:highlight w:val="none"/>
              </w:rPr>
            </w:pPr>
          </w:p>
        </w:tc>
        <w:tc>
          <w:tcPr>
            <w:tcW w:w="2688" w:type="pct"/>
            <w:gridSpan w:val="4"/>
            <w:tcBorders>
              <w:top w:val="single" w:color="auto" w:sz="4" w:space="0"/>
              <w:left w:val="nil"/>
              <w:bottom w:val="single" w:color="auto" w:sz="4" w:space="0"/>
              <w:right w:val="single" w:color="auto" w:sz="4" w:space="0"/>
            </w:tcBorders>
            <w:noWrap w:val="0"/>
            <w:vAlign w:val="center"/>
          </w:tcPr>
          <w:p w14:paraId="4F5883E9">
            <w:pPr>
              <w:rPr>
                <w:rFonts w:ascii="宋体" w:hAnsi="宋体" w:cs="宋体"/>
                <w:sz w:val="21"/>
                <w:szCs w:val="21"/>
                <w:highlight w:val="none"/>
              </w:rPr>
            </w:pPr>
            <w:r>
              <w:rPr>
                <w:rFonts w:hint="eastAsia" w:ascii="宋体" w:hAnsi="宋体" w:cs="宋体"/>
                <w:sz w:val="21"/>
                <w:szCs w:val="21"/>
                <w:highlight w:val="none"/>
              </w:rPr>
              <w:t>9、相关方评价</w:t>
            </w:r>
            <w:r>
              <w:rPr>
                <w:rFonts w:hint="eastAsia" w:ascii="宋体" w:hAnsi="宋体" w:cs="宋体"/>
                <w:sz w:val="21"/>
                <w:szCs w:val="21"/>
                <w:highlight w:val="none"/>
                <w:lang w:eastAsia="zh-CN"/>
              </w:rPr>
              <w:t>（</w:t>
            </w:r>
            <w:r>
              <w:rPr>
                <w:rFonts w:hint="eastAsia" w:ascii="宋体" w:hAnsi="宋体" w:cs="宋体"/>
                <w:sz w:val="21"/>
                <w:szCs w:val="21"/>
                <w:highlight w:val="none"/>
              </w:rPr>
              <w:t>第三方</w:t>
            </w:r>
            <w:r>
              <w:rPr>
                <w:rFonts w:hint="eastAsia" w:ascii="宋体" w:hAnsi="宋体" w:cs="宋体"/>
                <w:sz w:val="21"/>
                <w:szCs w:val="21"/>
                <w:highlight w:val="none"/>
                <w:lang w:eastAsia="zh-CN"/>
              </w:rPr>
              <w:t>）</w:t>
            </w:r>
          </w:p>
        </w:tc>
        <w:tc>
          <w:tcPr>
            <w:tcW w:w="790" w:type="pct"/>
            <w:tcBorders>
              <w:top w:val="nil"/>
              <w:left w:val="nil"/>
              <w:bottom w:val="single" w:color="auto" w:sz="4" w:space="0"/>
              <w:right w:val="single" w:color="auto" w:sz="4" w:space="0"/>
            </w:tcBorders>
            <w:noWrap w:val="0"/>
            <w:vAlign w:val="center"/>
          </w:tcPr>
          <w:p w14:paraId="07E4E102">
            <w:pPr>
              <w:rPr>
                <w:rFonts w:ascii="宋体" w:hAnsi="宋体" w:cs="宋体"/>
                <w:sz w:val="21"/>
                <w:szCs w:val="21"/>
                <w:highlight w:val="none"/>
              </w:rPr>
            </w:pPr>
            <w:r>
              <w:rPr>
                <w:rFonts w:hint="eastAsia" w:ascii="宋体" w:hAnsi="宋体" w:cs="宋体"/>
                <w:sz w:val="21"/>
                <w:szCs w:val="21"/>
                <w:highlight w:val="none"/>
              </w:rPr>
              <w:t>标准5 分</w:t>
            </w:r>
          </w:p>
        </w:tc>
        <w:tc>
          <w:tcPr>
            <w:tcW w:w="848" w:type="pct"/>
            <w:tcBorders>
              <w:top w:val="nil"/>
              <w:left w:val="nil"/>
              <w:bottom w:val="single" w:color="auto" w:sz="4" w:space="0"/>
              <w:right w:val="single" w:color="auto" w:sz="4" w:space="0"/>
            </w:tcBorders>
            <w:noWrap w:val="0"/>
            <w:vAlign w:val="center"/>
          </w:tcPr>
          <w:p w14:paraId="6E23073B">
            <w:pPr>
              <w:rPr>
                <w:rFonts w:ascii="宋体" w:hAnsi="宋体" w:cs="宋体"/>
                <w:sz w:val="21"/>
                <w:szCs w:val="21"/>
                <w:highlight w:val="none"/>
              </w:rPr>
            </w:pPr>
            <w:r>
              <w:rPr>
                <w:rFonts w:hint="eastAsia" w:ascii="宋体" w:hAnsi="宋体" w:cs="宋体"/>
                <w:sz w:val="21"/>
                <w:szCs w:val="21"/>
                <w:highlight w:val="none"/>
              </w:rPr>
              <w:t>实得分：</w:t>
            </w:r>
          </w:p>
        </w:tc>
      </w:tr>
      <w:tr w14:paraId="0AEE50EA">
        <w:tblPrEx>
          <w:tblCellMar>
            <w:top w:w="0" w:type="dxa"/>
            <w:left w:w="108" w:type="dxa"/>
            <w:bottom w:w="0" w:type="dxa"/>
            <w:right w:w="108" w:type="dxa"/>
          </w:tblCellMar>
        </w:tblPrEx>
        <w:trPr>
          <w:trHeight w:val="435" w:hRule="atLeast"/>
        </w:trPr>
        <w:tc>
          <w:tcPr>
            <w:tcW w:w="674" w:type="pct"/>
            <w:vMerge w:val="continue"/>
            <w:tcBorders>
              <w:top w:val="nil"/>
              <w:left w:val="single" w:color="auto" w:sz="4" w:space="0"/>
              <w:bottom w:val="single" w:color="auto" w:sz="4" w:space="0"/>
              <w:right w:val="single" w:color="auto" w:sz="4" w:space="0"/>
            </w:tcBorders>
            <w:noWrap w:val="0"/>
            <w:vAlign w:val="center"/>
          </w:tcPr>
          <w:p w14:paraId="2EC44E15">
            <w:pPr>
              <w:rPr>
                <w:rFonts w:ascii="宋体" w:hAnsi="宋体" w:cs="宋体"/>
                <w:sz w:val="21"/>
                <w:szCs w:val="21"/>
                <w:highlight w:val="none"/>
              </w:rPr>
            </w:pPr>
          </w:p>
        </w:tc>
        <w:tc>
          <w:tcPr>
            <w:tcW w:w="2688" w:type="pct"/>
            <w:gridSpan w:val="4"/>
            <w:tcBorders>
              <w:top w:val="single" w:color="auto" w:sz="4" w:space="0"/>
              <w:left w:val="nil"/>
              <w:bottom w:val="single" w:color="auto" w:sz="4" w:space="0"/>
              <w:right w:val="single" w:color="auto" w:sz="4" w:space="0"/>
            </w:tcBorders>
            <w:noWrap w:val="0"/>
            <w:vAlign w:val="center"/>
          </w:tcPr>
          <w:p w14:paraId="56A61F69">
            <w:pPr>
              <w:rPr>
                <w:rFonts w:ascii="宋体" w:hAnsi="宋体" w:cs="宋体"/>
                <w:sz w:val="21"/>
                <w:szCs w:val="21"/>
                <w:highlight w:val="none"/>
              </w:rPr>
            </w:pPr>
            <w:r>
              <w:rPr>
                <w:rFonts w:hint="eastAsia" w:ascii="宋体" w:hAnsi="宋体" w:cs="宋体"/>
                <w:sz w:val="21"/>
                <w:szCs w:val="21"/>
                <w:highlight w:val="none"/>
              </w:rPr>
              <w:t>合计评分</w:t>
            </w:r>
          </w:p>
        </w:tc>
        <w:tc>
          <w:tcPr>
            <w:tcW w:w="790" w:type="pct"/>
            <w:tcBorders>
              <w:top w:val="nil"/>
              <w:left w:val="nil"/>
              <w:bottom w:val="single" w:color="auto" w:sz="4" w:space="0"/>
              <w:right w:val="single" w:color="auto" w:sz="4" w:space="0"/>
            </w:tcBorders>
            <w:noWrap w:val="0"/>
            <w:vAlign w:val="center"/>
          </w:tcPr>
          <w:p w14:paraId="7A0B71B5">
            <w:pPr>
              <w:rPr>
                <w:rFonts w:ascii="宋体" w:hAnsi="宋体" w:cs="宋体"/>
                <w:sz w:val="21"/>
                <w:szCs w:val="21"/>
                <w:highlight w:val="none"/>
              </w:rPr>
            </w:pPr>
            <w:r>
              <w:rPr>
                <w:rFonts w:hint="eastAsia" w:ascii="宋体" w:hAnsi="宋体" w:cs="宋体"/>
                <w:sz w:val="21"/>
                <w:szCs w:val="21"/>
                <w:highlight w:val="none"/>
              </w:rPr>
              <w:t>标准100 分</w:t>
            </w:r>
          </w:p>
        </w:tc>
        <w:tc>
          <w:tcPr>
            <w:tcW w:w="848" w:type="pct"/>
            <w:tcBorders>
              <w:top w:val="nil"/>
              <w:left w:val="nil"/>
              <w:bottom w:val="single" w:color="auto" w:sz="4" w:space="0"/>
              <w:right w:val="single" w:color="auto" w:sz="4" w:space="0"/>
            </w:tcBorders>
            <w:noWrap w:val="0"/>
            <w:vAlign w:val="center"/>
          </w:tcPr>
          <w:p w14:paraId="4437EEDD">
            <w:pPr>
              <w:rPr>
                <w:rFonts w:ascii="宋体" w:hAnsi="宋体" w:cs="宋体"/>
                <w:sz w:val="21"/>
                <w:szCs w:val="21"/>
                <w:highlight w:val="none"/>
              </w:rPr>
            </w:pPr>
            <w:r>
              <w:rPr>
                <w:rFonts w:hint="eastAsia" w:ascii="宋体" w:hAnsi="宋体" w:cs="宋体"/>
                <w:sz w:val="21"/>
                <w:szCs w:val="21"/>
                <w:highlight w:val="none"/>
              </w:rPr>
              <w:t>合计实得：</w:t>
            </w:r>
          </w:p>
        </w:tc>
      </w:tr>
      <w:tr w14:paraId="0AF68DF4">
        <w:tblPrEx>
          <w:tblCellMar>
            <w:top w:w="0" w:type="dxa"/>
            <w:left w:w="108" w:type="dxa"/>
            <w:bottom w:w="0" w:type="dxa"/>
            <w:right w:w="108" w:type="dxa"/>
          </w:tblCellMar>
        </w:tblPrEx>
        <w:trPr>
          <w:trHeight w:val="1008" w:hRule="atLeast"/>
        </w:trPr>
        <w:tc>
          <w:tcPr>
            <w:tcW w:w="5000" w:type="pct"/>
            <w:gridSpan w:val="7"/>
            <w:tcBorders>
              <w:top w:val="single" w:color="auto" w:sz="4" w:space="0"/>
              <w:left w:val="single" w:color="auto" w:sz="4" w:space="0"/>
              <w:bottom w:val="single" w:color="auto" w:sz="4" w:space="0"/>
              <w:right w:val="single" w:color="auto" w:sz="4" w:space="0"/>
            </w:tcBorders>
            <w:noWrap w:val="0"/>
            <w:vAlign w:val="top"/>
          </w:tcPr>
          <w:p w14:paraId="26D63D5E">
            <w:pPr>
              <w:spacing w:after="240"/>
              <w:rPr>
                <w:rFonts w:ascii="宋体" w:hAnsi="宋体" w:cs="宋体"/>
                <w:sz w:val="21"/>
                <w:szCs w:val="21"/>
                <w:highlight w:val="none"/>
              </w:rPr>
            </w:pPr>
            <w:r>
              <w:rPr>
                <w:rFonts w:hint="eastAsia" w:ascii="宋体" w:hAnsi="宋体" w:cs="宋体"/>
                <w:sz w:val="21"/>
                <w:szCs w:val="21"/>
                <w:highlight w:val="none"/>
              </w:rPr>
              <w:t>改进建议：</w:t>
            </w:r>
          </w:p>
        </w:tc>
      </w:tr>
      <w:tr w14:paraId="5DF55FAA">
        <w:tblPrEx>
          <w:tblCellMar>
            <w:top w:w="0" w:type="dxa"/>
            <w:left w:w="108" w:type="dxa"/>
            <w:bottom w:w="0" w:type="dxa"/>
            <w:right w:w="108" w:type="dxa"/>
          </w:tblCellMar>
        </w:tblPrEx>
        <w:trPr>
          <w:trHeight w:val="1211" w:hRule="atLeast"/>
        </w:trPr>
        <w:tc>
          <w:tcPr>
            <w:tcW w:w="5000" w:type="pct"/>
            <w:gridSpan w:val="7"/>
            <w:tcBorders>
              <w:top w:val="single" w:color="auto" w:sz="4" w:space="0"/>
              <w:left w:val="single" w:color="auto" w:sz="4" w:space="0"/>
              <w:bottom w:val="single" w:color="auto" w:sz="4" w:space="0"/>
              <w:right w:val="single" w:color="auto" w:sz="4" w:space="0"/>
            </w:tcBorders>
            <w:noWrap w:val="0"/>
            <w:vAlign w:val="top"/>
          </w:tcPr>
          <w:p w14:paraId="53E8C6AA">
            <w:pPr>
              <w:rPr>
                <w:rFonts w:hint="eastAsia" w:ascii="宋体" w:hAnsi="宋体" w:eastAsia="宋体" w:cs="宋体"/>
                <w:sz w:val="21"/>
                <w:szCs w:val="21"/>
                <w:highlight w:val="none"/>
                <w:lang w:eastAsia="zh-CN"/>
              </w:rPr>
            </w:pPr>
            <w:r>
              <w:rPr>
                <w:rFonts w:hint="eastAsia" w:ascii="宋体" w:hAnsi="宋体" w:cs="宋体"/>
                <w:sz w:val="21"/>
                <w:szCs w:val="21"/>
                <w:highlight w:val="none"/>
              </w:rPr>
              <w:t>评价小组签字：</w:t>
            </w:r>
          </w:p>
          <w:p w14:paraId="4864D152">
            <w:pPr>
              <w:rPr>
                <w:rFonts w:ascii="宋体" w:hAnsi="宋体" w:cs="宋体"/>
                <w:sz w:val="21"/>
                <w:szCs w:val="21"/>
                <w:highlight w:val="none"/>
              </w:rPr>
            </w:pPr>
            <w:r>
              <w:rPr>
                <w:rFonts w:hint="eastAsia" w:ascii="宋体" w:hAnsi="宋体" w:cs="宋体"/>
                <w:sz w:val="21"/>
                <w:szCs w:val="21"/>
                <w:highlight w:val="none"/>
              </w:rPr>
              <w:t xml:space="preserve">                                                    </w:t>
            </w:r>
          </w:p>
          <w:p w14:paraId="3E2A7409">
            <w:pPr>
              <w:ind w:firstLine="5775" w:firstLineChars="2750"/>
              <w:rPr>
                <w:rFonts w:hint="eastAsia" w:ascii="宋体" w:hAnsi="宋体" w:eastAsia="宋体" w:cs="宋体"/>
                <w:sz w:val="21"/>
                <w:szCs w:val="21"/>
                <w:highlight w:val="none"/>
                <w:lang w:eastAsia="zh-CN"/>
              </w:rPr>
            </w:pPr>
            <w:r>
              <w:rPr>
                <w:rFonts w:hint="eastAsia" w:ascii="宋体" w:hAnsi="宋体" w:cs="宋体"/>
                <w:sz w:val="21"/>
                <w:szCs w:val="21"/>
                <w:highlight w:val="none"/>
              </w:rPr>
              <w:t xml:space="preserve"> 组长签字：</w:t>
            </w:r>
          </w:p>
          <w:p w14:paraId="45B377E4">
            <w:pPr>
              <w:ind w:firstLine="5775" w:firstLineChars="2750"/>
              <w:rPr>
                <w:rFonts w:ascii="宋体" w:hAnsi="宋体" w:cs="宋体"/>
                <w:sz w:val="21"/>
                <w:szCs w:val="21"/>
                <w:highlight w:val="none"/>
              </w:rPr>
            </w:pPr>
            <w:r>
              <w:rPr>
                <w:rFonts w:hint="eastAsia" w:ascii="宋体" w:hAnsi="宋体" w:cs="宋体"/>
                <w:sz w:val="21"/>
                <w:szCs w:val="21"/>
                <w:highlight w:val="none"/>
              </w:rPr>
              <w:t xml:space="preserve">                                                        年  月  日</w:t>
            </w:r>
          </w:p>
        </w:tc>
      </w:tr>
      <w:tr w14:paraId="0D186812">
        <w:tblPrEx>
          <w:tblCellMar>
            <w:top w:w="0" w:type="dxa"/>
            <w:left w:w="108" w:type="dxa"/>
            <w:bottom w:w="0" w:type="dxa"/>
            <w:right w:w="108" w:type="dxa"/>
          </w:tblCellMar>
        </w:tblPrEx>
        <w:trPr>
          <w:trHeight w:val="555" w:hRule="atLeast"/>
        </w:trPr>
        <w:tc>
          <w:tcPr>
            <w:tcW w:w="5000" w:type="pct"/>
            <w:gridSpan w:val="7"/>
            <w:tcBorders>
              <w:top w:val="single" w:color="auto" w:sz="4" w:space="0"/>
              <w:left w:val="nil"/>
              <w:bottom w:val="nil"/>
              <w:right w:val="nil"/>
            </w:tcBorders>
            <w:noWrap w:val="0"/>
            <w:vAlign w:val="center"/>
          </w:tcPr>
          <w:p w14:paraId="742B1FB1">
            <w:pPr>
              <w:rPr>
                <w:rFonts w:ascii="宋体" w:hAnsi="宋体" w:cs="宋体"/>
                <w:sz w:val="21"/>
                <w:szCs w:val="21"/>
                <w:highlight w:val="none"/>
              </w:rPr>
            </w:pPr>
            <w:r>
              <w:rPr>
                <w:rFonts w:hint="eastAsia" w:ascii="宋体" w:hAnsi="宋体" w:cs="宋体"/>
                <w:sz w:val="21"/>
                <w:szCs w:val="21"/>
                <w:highlight w:val="none"/>
              </w:rPr>
              <w:t>注：关键项有1 项不符合，其合计实得分小于60 分。</w:t>
            </w:r>
          </w:p>
        </w:tc>
      </w:tr>
    </w:tbl>
    <w:p w14:paraId="7E43671A">
      <w:pPr>
        <w:widowControl w:val="0"/>
        <w:rPr>
          <w:highlight w:val="none"/>
        </w:rPr>
      </w:pPr>
    </w:p>
    <w:p w14:paraId="3D568C7F">
      <w:pPr>
        <w:rPr>
          <w:highlight w:val="none"/>
        </w:rPr>
      </w:pPr>
      <w:r>
        <w:rPr>
          <w:highlight w:val="none"/>
        </w:rPr>
        <w:br w:type="page"/>
      </w:r>
    </w:p>
    <w:p w14:paraId="1C2FF333">
      <w:pPr>
        <w:rPr>
          <w:highlight w:val="none"/>
        </w:rPr>
        <w:sectPr>
          <w:headerReference r:id="rId7" w:type="first"/>
          <w:headerReference r:id="rId5" w:type="default"/>
          <w:footerReference r:id="rId8" w:type="default"/>
          <w:headerReference r:id="rId6" w:type="even"/>
          <w:pgSz w:w="11906" w:h="16838"/>
          <w:pgMar w:top="1415" w:right="1558" w:bottom="1091" w:left="1134" w:header="851" w:footer="992" w:gutter="0"/>
          <w:pgNumType w:fmt="decimal"/>
          <w:cols w:space="720" w:num="1"/>
          <w:docGrid w:type="lines" w:linePitch="312" w:charSpace="0"/>
        </w:sectPr>
      </w:pPr>
    </w:p>
    <w:p w14:paraId="34E65EF1">
      <w:pPr>
        <w:pStyle w:val="2"/>
        <w:tabs>
          <w:tab w:val="left" w:pos="562"/>
          <w:tab w:val="left" w:pos="3372"/>
          <w:tab w:val="left" w:pos="3653"/>
        </w:tabs>
        <w:jc w:val="center"/>
        <w:rPr>
          <w:rFonts w:hint="eastAsia" w:ascii="宋体" w:hAnsi="宋体" w:cs="宋体"/>
          <w:bCs/>
          <w:color w:val="FF0000"/>
          <w:highlight w:val="none"/>
        </w:rPr>
      </w:pPr>
      <w:r>
        <w:rPr>
          <w:rFonts w:hint="eastAsia" w:ascii="宋体" w:hAnsi="宋体" w:cs="宋体"/>
          <w:bCs/>
          <w:color w:val="FF0000"/>
          <w:highlight w:val="none"/>
        </w:rPr>
        <w:t>附件</w:t>
      </w:r>
      <w:r>
        <w:rPr>
          <w:rFonts w:hint="eastAsia" w:ascii="宋体" w:hAnsi="宋体" w:cs="宋体"/>
          <w:bCs/>
          <w:color w:val="FF0000"/>
          <w:highlight w:val="none"/>
          <w:lang w:val="en-US" w:eastAsia="zh-CN"/>
        </w:rPr>
        <w:t>3</w:t>
      </w:r>
      <w:r>
        <w:rPr>
          <w:rFonts w:hint="eastAsia" w:ascii="宋体" w:hAnsi="宋体" w:cs="宋体"/>
          <w:bCs/>
          <w:color w:val="FF0000"/>
          <w:highlight w:val="none"/>
        </w:rPr>
        <w:t>《交通安全设施</w:t>
      </w:r>
      <w:r>
        <w:rPr>
          <w:rFonts w:ascii="宋体" w:hAnsi="宋体" w:cs="宋体"/>
          <w:bCs/>
          <w:color w:val="FF0000"/>
          <w:highlight w:val="none"/>
        </w:rPr>
        <w:t>专业分包采购清单</w:t>
      </w:r>
      <w:r>
        <w:rPr>
          <w:rFonts w:hint="eastAsia" w:ascii="宋体" w:hAnsi="宋体" w:cs="宋体"/>
          <w:bCs/>
          <w:color w:val="FF0000"/>
          <w:highlight w:val="none"/>
        </w:rPr>
        <w:t>》</w:t>
      </w:r>
    </w:p>
    <w:p w14:paraId="65B0D304">
      <w:pPr>
        <w:rPr>
          <w:highlight w:val="none"/>
        </w:rPr>
      </w:pPr>
      <w:bookmarkStart w:id="465" w:name="_Toc23584"/>
      <w:bookmarkStart w:id="466" w:name="_Toc32035"/>
      <w:bookmarkStart w:id="467" w:name="_Toc31487"/>
      <w:bookmarkStart w:id="468" w:name="_Toc17608"/>
      <w:bookmarkStart w:id="469" w:name="_Toc21999"/>
      <w:bookmarkStart w:id="470" w:name="_Toc128564773"/>
    </w:p>
    <w:p w14:paraId="2B1F7C2B">
      <w:pPr>
        <w:pStyle w:val="4"/>
        <w:pageBreakBefore/>
        <w:spacing w:line="415" w:lineRule="auto"/>
        <w:jc w:val="center"/>
        <w:rPr>
          <w:b/>
          <w:bCs/>
          <w:color w:val="auto"/>
          <w:highlight w:val="none"/>
        </w:rPr>
      </w:pPr>
      <w:bookmarkStart w:id="471" w:name="_Toc8516"/>
      <w:bookmarkStart w:id="472" w:name="_Toc4596"/>
      <w:bookmarkStart w:id="473" w:name="_Toc16064"/>
      <w:bookmarkStart w:id="474" w:name="_Toc3036"/>
      <w:bookmarkStart w:id="475" w:name="_Toc3508"/>
      <w:r>
        <w:rPr>
          <w:rFonts w:hint="eastAsia"/>
          <w:b/>
          <w:bCs/>
          <w:color w:val="auto"/>
          <w:highlight w:val="none"/>
        </w:rPr>
        <w:t>第五章  投标文件的格式、附件</w:t>
      </w:r>
      <w:bookmarkEnd w:id="465"/>
      <w:bookmarkEnd w:id="466"/>
      <w:bookmarkEnd w:id="467"/>
      <w:bookmarkEnd w:id="468"/>
      <w:bookmarkEnd w:id="469"/>
      <w:bookmarkEnd w:id="470"/>
      <w:bookmarkEnd w:id="471"/>
      <w:bookmarkEnd w:id="472"/>
      <w:bookmarkEnd w:id="473"/>
      <w:bookmarkEnd w:id="474"/>
      <w:bookmarkEnd w:id="475"/>
    </w:p>
    <w:p w14:paraId="620578B2">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特别提醒：投标人在编辑投标文件时，在投标文件目录中属于本节点内容的必须在本节点中填写，填写到其他节点或附件的将可能导致投标无效，一切后果由</w:t>
      </w:r>
      <w:r>
        <w:rPr>
          <w:rFonts w:hint="eastAsia" w:ascii="仿宋" w:hAnsi="仿宋" w:eastAsia="仿宋" w:cs="仿宋"/>
          <w:bCs/>
          <w:color w:val="auto"/>
          <w:sz w:val="24"/>
          <w:highlight w:val="none"/>
          <w:lang w:eastAsia="zh-CN"/>
        </w:rPr>
        <w:t>投标人</w:t>
      </w:r>
      <w:r>
        <w:rPr>
          <w:rFonts w:hint="eastAsia" w:ascii="仿宋" w:hAnsi="仿宋" w:eastAsia="仿宋" w:cs="仿宋"/>
          <w:bCs/>
          <w:color w:val="auto"/>
          <w:sz w:val="24"/>
          <w:highlight w:val="none"/>
        </w:rPr>
        <w:t>自行承担。</w:t>
      </w:r>
    </w:p>
    <w:p w14:paraId="32B6C387">
      <w:pPr>
        <w:pStyle w:val="2"/>
        <w:rPr>
          <w:color w:val="auto"/>
          <w:highlight w:val="none"/>
        </w:rPr>
      </w:pPr>
      <w:r>
        <w:rPr>
          <w:color w:val="auto"/>
          <w:highlight w:val="none"/>
        </w:rPr>
        <w:br w:type="page"/>
      </w:r>
    </w:p>
    <w:p w14:paraId="7E090E87">
      <w:pPr>
        <w:pStyle w:val="2"/>
        <w:rPr>
          <w:color w:val="auto"/>
          <w:highlight w:val="none"/>
        </w:rPr>
      </w:pPr>
    </w:p>
    <w:p w14:paraId="6DED674D">
      <w:pPr>
        <w:pStyle w:val="5"/>
        <w:jc w:val="center"/>
        <w:rPr>
          <w:rFonts w:hint="eastAsia" w:cs="Arial" w:asciiTheme="minorEastAsia" w:hAnsiTheme="minorEastAsia" w:eastAsiaTheme="minorEastAsia"/>
          <w:color w:val="auto"/>
          <w:sz w:val="52"/>
          <w:szCs w:val="52"/>
          <w:highlight w:val="none"/>
          <w:lang w:eastAsia="zh-CN"/>
        </w:rPr>
      </w:pPr>
      <w:bookmarkStart w:id="476" w:name="_Toc1284"/>
      <w:bookmarkStart w:id="477" w:name="_Toc1978"/>
      <w:bookmarkStart w:id="478" w:name="_Toc20957"/>
      <w:bookmarkStart w:id="479" w:name="_Toc5722"/>
      <w:bookmarkStart w:id="480" w:name="_Toc11157"/>
      <w:bookmarkStart w:id="481" w:name="_Toc24130"/>
      <w:bookmarkStart w:id="482" w:name="_Toc26045"/>
      <w:bookmarkStart w:id="483" w:name="_Toc11857"/>
      <w:r>
        <w:rPr>
          <w:rFonts w:hint="eastAsia" w:cs="Arial" w:asciiTheme="minorEastAsia" w:hAnsiTheme="minorEastAsia" w:eastAsiaTheme="minorEastAsia"/>
          <w:color w:val="auto"/>
          <w:sz w:val="52"/>
          <w:szCs w:val="52"/>
          <w:highlight w:val="none"/>
          <w:lang w:eastAsia="zh-CN"/>
        </w:rPr>
        <w:t>报价一览表</w:t>
      </w:r>
      <w:bookmarkEnd w:id="476"/>
      <w:bookmarkEnd w:id="477"/>
      <w:bookmarkEnd w:id="478"/>
      <w:bookmarkEnd w:id="479"/>
      <w:bookmarkEnd w:id="480"/>
      <w:bookmarkEnd w:id="481"/>
      <w:bookmarkEnd w:id="482"/>
      <w:bookmarkEnd w:id="483"/>
    </w:p>
    <w:p w14:paraId="16748FAF">
      <w:pPr>
        <w:spacing w:line="360" w:lineRule="auto"/>
        <w:jc w:val="center"/>
        <w:rPr>
          <w:rFonts w:ascii="宋体" w:hAnsi="宋体" w:cs="Arial"/>
          <w:b/>
          <w:bCs/>
          <w:color w:val="auto"/>
          <w:sz w:val="28"/>
          <w:szCs w:val="28"/>
          <w:highlight w:val="none"/>
        </w:rPr>
      </w:pPr>
    </w:p>
    <w:p w14:paraId="780E0567">
      <w:pPr>
        <w:spacing w:line="360" w:lineRule="auto"/>
        <w:jc w:val="center"/>
        <w:rPr>
          <w:rFonts w:ascii="宋体" w:hAnsi="宋体" w:cs="Arial"/>
          <w:b/>
          <w:bCs/>
          <w:color w:val="auto"/>
          <w:sz w:val="28"/>
          <w:szCs w:val="28"/>
          <w:highlight w:val="none"/>
        </w:rPr>
      </w:pPr>
    </w:p>
    <w:p w14:paraId="60607590">
      <w:pPr>
        <w:spacing w:line="360" w:lineRule="auto"/>
        <w:jc w:val="center"/>
        <w:rPr>
          <w:rFonts w:ascii="宋体" w:hAnsi="宋体" w:cs="Arial"/>
          <w:b/>
          <w:bCs/>
          <w:color w:val="auto"/>
          <w:sz w:val="28"/>
          <w:szCs w:val="28"/>
          <w:highlight w:val="none"/>
        </w:rPr>
      </w:pPr>
    </w:p>
    <w:p w14:paraId="336F12E2">
      <w:pPr>
        <w:spacing w:line="360" w:lineRule="auto"/>
        <w:jc w:val="center"/>
        <w:rPr>
          <w:rFonts w:ascii="宋体" w:hAnsi="宋体" w:cs="Arial"/>
          <w:b/>
          <w:bCs/>
          <w:color w:val="auto"/>
          <w:sz w:val="28"/>
          <w:szCs w:val="28"/>
          <w:highlight w:val="none"/>
        </w:rPr>
      </w:pPr>
    </w:p>
    <w:p w14:paraId="3BDB9FA9">
      <w:pPr>
        <w:spacing w:line="360" w:lineRule="auto"/>
        <w:jc w:val="center"/>
        <w:rPr>
          <w:rFonts w:ascii="宋体" w:hAnsi="宋体" w:cs="Arial"/>
          <w:b/>
          <w:bCs/>
          <w:color w:val="auto"/>
          <w:sz w:val="28"/>
          <w:szCs w:val="28"/>
          <w:highlight w:val="none"/>
        </w:rPr>
      </w:pPr>
    </w:p>
    <w:p w14:paraId="38E0DFDC">
      <w:pPr>
        <w:spacing w:line="360" w:lineRule="auto"/>
        <w:jc w:val="left"/>
        <w:rPr>
          <w:rFonts w:ascii="宋体" w:hAnsi="宋体" w:cs="Arial"/>
          <w:b/>
          <w:bCs/>
          <w:color w:val="auto"/>
          <w:sz w:val="28"/>
          <w:szCs w:val="28"/>
          <w:highlight w:val="none"/>
        </w:rPr>
      </w:pPr>
      <w:r>
        <w:rPr>
          <w:rFonts w:hint="eastAsia" w:ascii="宋体" w:hAnsi="宋体" w:cs="Arial"/>
          <w:b/>
          <w:bCs/>
          <w:color w:val="auto"/>
          <w:sz w:val="28"/>
          <w:szCs w:val="28"/>
          <w:highlight w:val="none"/>
        </w:rPr>
        <w:t>项目名称：</w:t>
      </w:r>
    </w:p>
    <w:p w14:paraId="71C6095C">
      <w:pPr>
        <w:spacing w:line="360" w:lineRule="auto"/>
        <w:jc w:val="left"/>
        <w:rPr>
          <w:rFonts w:ascii="宋体" w:hAnsi="宋体" w:cs="Arial"/>
          <w:b/>
          <w:bCs/>
          <w:color w:val="auto"/>
          <w:sz w:val="28"/>
          <w:szCs w:val="28"/>
          <w:highlight w:val="none"/>
        </w:rPr>
      </w:pPr>
      <w:r>
        <w:rPr>
          <w:rFonts w:hint="eastAsia" w:ascii="宋体" w:hAnsi="宋体" w:cs="Arial"/>
          <w:b/>
          <w:bCs/>
          <w:color w:val="auto"/>
          <w:sz w:val="28"/>
          <w:szCs w:val="28"/>
          <w:highlight w:val="none"/>
        </w:rPr>
        <w:t>项目编号：</w:t>
      </w:r>
    </w:p>
    <w:p w14:paraId="7B6B8E11">
      <w:pPr>
        <w:spacing w:line="360" w:lineRule="auto"/>
        <w:jc w:val="left"/>
        <w:rPr>
          <w:rFonts w:ascii="宋体" w:hAnsi="宋体" w:cs="Arial"/>
          <w:b/>
          <w:bCs/>
          <w:color w:val="auto"/>
          <w:sz w:val="28"/>
          <w:szCs w:val="28"/>
          <w:highlight w:val="none"/>
        </w:rPr>
      </w:pPr>
      <w:r>
        <w:rPr>
          <w:rFonts w:hint="eastAsia" w:ascii="宋体" w:hAnsi="宋体" w:cs="Arial"/>
          <w:b/>
          <w:bCs/>
          <w:color w:val="auto"/>
          <w:sz w:val="28"/>
          <w:szCs w:val="28"/>
          <w:highlight w:val="none"/>
        </w:rPr>
        <w:t>投标单位：</w:t>
      </w:r>
      <w:r>
        <w:rPr>
          <w:rFonts w:hint="eastAsia" w:ascii="宋体" w:hAnsi="宋体" w:cs="Arial"/>
          <w:b/>
          <w:bCs/>
          <w:color w:val="auto"/>
          <w:sz w:val="28"/>
          <w:szCs w:val="28"/>
          <w:highlight w:val="none"/>
          <w:u w:val="single"/>
        </w:rPr>
        <w:t>（加盖公章）</w:t>
      </w:r>
    </w:p>
    <w:p w14:paraId="14928A8D">
      <w:pPr>
        <w:spacing w:line="360" w:lineRule="auto"/>
        <w:jc w:val="left"/>
        <w:rPr>
          <w:rFonts w:ascii="宋体" w:hAnsi="宋体" w:cs="Arial"/>
          <w:b/>
          <w:bCs/>
          <w:color w:val="auto"/>
          <w:sz w:val="28"/>
          <w:szCs w:val="28"/>
          <w:highlight w:val="none"/>
        </w:rPr>
      </w:pPr>
      <w:r>
        <w:rPr>
          <w:rFonts w:hint="eastAsia" w:ascii="宋体" w:hAnsi="宋体" w:cs="Arial"/>
          <w:b/>
          <w:bCs/>
          <w:color w:val="auto"/>
          <w:sz w:val="28"/>
          <w:szCs w:val="28"/>
          <w:highlight w:val="none"/>
        </w:rPr>
        <w:t>法定代表人/被授权人：</w:t>
      </w:r>
    </w:p>
    <w:p w14:paraId="253BA77D">
      <w:pPr>
        <w:spacing w:line="360" w:lineRule="auto"/>
        <w:jc w:val="left"/>
        <w:rPr>
          <w:rFonts w:ascii="宋体" w:hAnsi="宋体" w:cs="Arial"/>
          <w:b/>
          <w:bCs/>
          <w:color w:val="auto"/>
          <w:sz w:val="28"/>
          <w:szCs w:val="28"/>
          <w:highlight w:val="none"/>
        </w:rPr>
      </w:pPr>
      <w:r>
        <w:rPr>
          <w:rFonts w:hint="eastAsia" w:ascii="宋体" w:hAnsi="宋体" w:cs="Arial"/>
          <w:b/>
          <w:bCs/>
          <w:color w:val="auto"/>
          <w:sz w:val="28"/>
          <w:szCs w:val="28"/>
          <w:highlight w:val="none"/>
        </w:rPr>
        <w:t>联系电话：</w:t>
      </w:r>
    </w:p>
    <w:p w14:paraId="4C6AE1B5">
      <w:pPr>
        <w:spacing w:line="360" w:lineRule="auto"/>
        <w:jc w:val="left"/>
        <w:rPr>
          <w:rFonts w:ascii="宋体" w:hAnsi="宋体" w:cs="Arial"/>
          <w:b/>
          <w:bCs/>
          <w:color w:val="auto"/>
          <w:sz w:val="28"/>
          <w:szCs w:val="28"/>
          <w:highlight w:val="none"/>
        </w:rPr>
      </w:pPr>
    </w:p>
    <w:p w14:paraId="2C26704C">
      <w:pPr>
        <w:spacing w:line="360" w:lineRule="auto"/>
        <w:jc w:val="center"/>
        <w:rPr>
          <w:rFonts w:ascii="宋体" w:hAnsi="宋体" w:cs="Arial"/>
          <w:b/>
          <w:bCs/>
          <w:color w:val="auto"/>
          <w:sz w:val="28"/>
          <w:szCs w:val="28"/>
          <w:highlight w:val="none"/>
        </w:rPr>
      </w:pPr>
      <w:r>
        <w:rPr>
          <w:rFonts w:hint="eastAsia" w:ascii="宋体" w:hAnsi="宋体" w:cs="Arial"/>
          <w:b/>
          <w:bCs/>
          <w:color w:val="auto"/>
          <w:sz w:val="28"/>
          <w:szCs w:val="28"/>
          <w:highlight w:val="none"/>
        </w:rPr>
        <w:t>【</w:t>
      </w:r>
      <w:r>
        <w:rPr>
          <w:rFonts w:hint="eastAsia" w:ascii="宋体" w:hAnsi="宋体" w:cs="Arial"/>
          <w:b/>
          <w:bCs/>
          <w:color w:val="auto"/>
          <w:sz w:val="28"/>
          <w:szCs w:val="28"/>
          <w:highlight w:val="none"/>
          <w:u w:val="single"/>
        </w:rPr>
        <w:t xml:space="preserve"> </w:t>
      </w:r>
      <w:r>
        <w:rPr>
          <w:rFonts w:ascii="宋体" w:hAnsi="宋体" w:cs="Arial"/>
          <w:b/>
          <w:bCs/>
          <w:color w:val="auto"/>
          <w:sz w:val="28"/>
          <w:szCs w:val="28"/>
          <w:highlight w:val="none"/>
          <w:u w:val="single"/>
        </w:rPr>
        <w:t xml:space="preserve">    </w:t>
      </w:r>
      <w:r>
        <w:rPr>
          <w:rFonts w:hint="eastAsia" w:ascii="宋体" w:hAnsi="宋体" w:cs="Arial"/>
          <w:b/>
          <w:bCs/>
          <w:color w:val="auto"/>
          <w:sz w:val="28"/>
          <w:szCs w:val="28"/>
          <w:highlight w:val="none"/>
          <w:u w:val="single"/>
        </w:rPr>
        <w:t xml:space="preserve">年 </w:t>
      </w:r>
      <w:r>
        <w:rPr>
          <w:rFonts w:ascii="宋体" w:hAnsi="宋体" w:cs="Arial"/>
          <w:b/>
          <w:bCs/>
          <w:color w:val="auto"/>
          <w:sz w:val="28"/>
          <w:szCs w:val="28"/>
          <w:highlight w:val="none"/>
          <w:u w:val="single"/>
        </w:rPr>
        <w:t xml:space="preserve">   </w:t>
      </w:r>
      <w:r>
        <w:rPr>
          <w:rFonts w:hint="eastAsia" w:ascii="宋体" w:hAnsi="宋体" w:cs="Arial"/>
          <w:b/>
          <w:bCs/>
          <w:color w:val="auto"/>
          <w:sz w:val="28"/>
          <w:szCs w:val="28"/>
          <w:highlight w:val="none"/>
          <w:u w:val="single"/>
        </w:rPr>
        <w:t xml:space="preserve">月 </w:t>
      </w:r>
      <w:r>
        <w:rPr>
          <w:rFonts w:ascii="宋体" w:hAnsi="宋体" w:cs="Arial"/>
          <w:b/>
          <w:bCs/>
          <w:color w:val="auto"/>
          <w:sz w:val="28"/>
          <w:szCs w:val="28"/>
          <w:highlight w:val="none"/>
          <w:u w:val="single"/>
        </w:rPr>
        <w:t xml:space="preserve"> </w:t>
      </w:r>
      <w:r>
        <w:rPr>
          <w:rFonts w:hint="eastAsia" w:ascii="宋体" w:hAnsi="宋体" w:cs="Arial"/>
          <w:b/>
          <w:bCs/>
          <w:color w:val="auto"/>
          <w:sz w:val="28"/>
          <w:szCs w:val="28"/>
          <w:highlight w:val="none"/>
          <w:u w:val="single"/>
        </w:rPr>
        <w:t xml:space="preserve">日 </w:t>
      </w:r>
      <w:r>
        <w:rPr>
          <w:rFonts w:ascii="宋体" w:hAnsi="宋体" w:cs="Arial"/>
          <w:b/>
          <w:bCs/>
          <w:color w:val="auto"/>
          <w:sz w:val="28"/>
          <w:szCs w:val="28"/>
          <w:highlight w:val="none"/>
          <w:u w:val="single"/>
        </w:rPr>
        <w:t xml:space="preserve"> </w:t>
      </w:r>
      <w:r>
        <w:rPr>
          <w:rFonts w:hint="eastAsia" w:ascii="宋体" w:hAnsi="宋体" w:cs="Arial"/>
          <w:b/>
          <w:bCs/>
          <w:color w:val="auto"/>
          <w:sz w:val="28"/>
          <w:szCs w:val="28"/>
          <w:highlight w:val="none"/>
          <w:u w:val="single"/>
        </w:rPr>
        <w:t xml:space="preserve">时 </w:t>
      </w:r>
      <w:r>
        <w:rPr>
          <w:rFonts w:ascii="宋体" w:hAnsi="宋体" w:cs="Arial"/>
          <w:b/>
          <w:bCs/>
          <w:color w:val="auto"/>
          <w:sz w:val="28"/>
          <w:szCs w:val="28"/>
          <w:highlight w:val="none"/>
          <w:u w:val="single"/>
        </w:rPr>
        <w:t xml:space="preserve"> </w:t>
      </w:r>
      <w:r>
        <w:rPr>
          <w:rFonts w:hint="eastAsia" w:ascii="宋体" w:hAnsi="宋体" w:cs="Arial"/>
          <w:b/>
          <w:bCs/>
          <w:color w:val="auto"/>
          <w:sz w:val="28"/>
          <w:szCs w:val="28"/>
          <w:highlight w:val="none"/>
          <w:u w:val="single"/>
        </w:rPr>
        <w:t>分</w:t>
      </w:r>
      <w:r>
        <w:rPr>
          <w:rFonts w:hint="eastAsia" w:ascii="宋体" w:hAnsi="宋体" w:cs="Arial"/>
          <w:b/>
          <w:bCs/>
          <w:color w:val="auto"/>
          <w:sz w:val="28"/>
          <w:szCs w:val="28"/>
          <w:highlight w:val="none"/>
        </w:rPr>
        <w:t>之前不得启封。】</w:t>
      </w:r>
    </w:p>
    <w:p w14:paraId="5FEFE4FB">
      <w:pPr>
        <w:spacing w:line="360" w:lineRule="auto"/>
        <w:rPr>
          <w:rFonts w:ascii="宋体" w:hAnsi="宋体" w:cs="Arial"/>
          <w:bCs/>
          <w:color w:val="auto"/>
          <w:sz w:val="28"/>
          <w:szCs w:val="28"/>
          <w:highlight w:val="none"/>
        </w:rPr>
      </w:pPr>
    </w:p>
    <w:p w14:paraId="0734A6B0">
      <w:pPr>
        <w:spacing w:line="360" w:lineRule="auto"/>
        <w:rPr>
          <w:rFonts w:hint="eastAsia" w:ascii="宋体" w:hAnsi="宋体" w:cs="Arial"/>
          <w:bCs/>
          <w:color w:val="auto"/>
          <w:sz w:val="28"/>
          <w:szCs w:val="28"/>
          <w:highlight w:val="none"/>
        </w:rPr>
      </w:pPr>
      <w:r>
        <w:rPr>
          <w:rFonts w:hint="eastAsia" w:ascii="宋体" w:hAnsi="宋体" w:cs="Arial"/>
          <w:bCs/>
          <w:color w:val="auto"/>
          <w:sz w:val="28"/>
          <w:szCs w:val="28"/>
          <w:highlight w:val="none"/>
        </w:rPr>
        <w:t>备注：本封条应粘贴在</w:t>
      </w:r>
      <w:r>
        <w:rPr>
          <w:rFonts w:hint="eastAsia" w:ascii="宋体" w:hAnsi="宋体" w:cs="Arial"/>
          <w:bCs/>
          <w:color w:val="auto"/>
          <w:sz w:val="28"/>
          <w:szCs w:val="28"/>
          <w:highlight w:val="none"/>
          <w:lang w:eastAsia="zh-CN"/>
        </w:rPr>
        <w:t>报价一览表</w:t>
      </w:r>
      <w:r>
        <w:rPr>
          <w:rFonts w:hint="eastAsia" w:ascii="宋体" w:hAnsi="宋体" w:cs="Arial"/>
          <w:bCs/>
          <w:color w:val="auto"/>
          <w:sz w:val="28"/>
          <w:szCs w:val="28"/>
          <w:highlight w:val="none"/>
        </w:rPr>
        <w:t>的密封袋封面。</w:t>
      </w:r>
    </w:p>
    <w:p w14:paraId="2CA49C21">
      <w:pPr>
        <w:outlineLvl w:val="9"/>
        <w:rPr>
          <w:rFonts w:hint="eastAsia" w:ascii="黑体"/>
          <w:b w:val="0"/>
          <w:color w:val="auto"/>
          <w:highlight w:val="none"/>
          <w:lang w:eastAsia="zh-CN"/>
        </w:rPr>
      </w:pPr>
      <w:r>
        <w:rPr>
          <w:rFonts w:hint="eastAsia" w:ascii="宋体" w:hAnsi="宋体" w:cs="Arial"/>
          <w:bCs/>
          <w:color w:val="auto"/>
          <w:sz w:val="28"/>
          <w:szCs w:val="28"/>
          <w:highlight w:val="none"/>
        </w:rPr>
        <w:br w:type="page"/>
      </w:r>
    </w:p>
    <w:p w14:paraId="79037C0D">
      <w:pPr>
        <w:pStyle w:val="6"/>
        <w:pageBreakBefore/>
        <w:spacing w:before="0" w:line="377" w:lineRule="auto"/>
        <w:jc w:val="center"/>
        <w:rPr>
          <w:rFonts w:hint="eastAsia" w:ascii="宋体" w:hAnsi="宋体" w:eastAsia="黑体"/>
          <w:b w:val="0"/>
          <w:color w:val="auto"/>
          <w:sz w:val="36"/>
          <w:highlight w:val="none"/>
          <w:lang w:eastAsia="zh-CN"/>
        </w:rPr>
      </w:pPr>
      <w:bookmarkStart w:id="484" w:name="_Toc11678"/>
      <w:bookmarkStart w:id="485" w:name="_Toc15884"/>
      <w:bookmarkStart w:id="486" w:name="_Toc23293"/>
      <w:bookmarkStart w:id="487" w:name="_Toc3033"/>
      <w:bookmarkStart w:id="488" w:name="_Toc16389"/>
      <w:r>
        <w:rPr>
          <w:rFonts w:hint="eastAsia" w:ascii="宋体" w:hAnsi="宋体"/>
          <w:b w:val="0"/>
          <w:color w:val="auto"/>
          <w:sz w:val="36"/>
          <w:highlight w:val="none"/>
          <w:lang w:eastAsia="zh-CN"/>
        </w:rPr>
        <w:t>报价一览表</w:t>
      </w:r>
    </w:p>
    <w:p w14:paraId="2E7F6EA0">
      <w:pPr>
        <w:pStyle w:val="2"/>
        <w:ind w:firstLine="422" w:firstLineChars="200"/>
        <w:rPr>
          <w:rFonts w:hint="eastAsia" w:ascii="仿宋" w:hAnsi="仿宋" w:eastAsia="仿宋" w:cs="仿宋"/>
          <w:b/>
          <w:bCs w:val="0"/>
          <w:snapToGrid w:val="0"/>
          <w:color w:val="auto"/>
          <w:kern w:val="0"/>
          <w:sz w:val="21"/>
          <w:highlight w:val="none"/>
        </w:rPr>
      </w:pPr>
      <w:r>
        <w:rPr>
          <w:rFonts w:hint="eastAsia" w:ascii="仿宋" w:hAnsi="仿宋" w:eastAsia="仿宋" w:cs="仿宋"/>
          <w:b/>
          <w:bCs w:val="0"/>
          <w:snapToGrid w:val="0"/>
          <w:color w:val="auto"/>
          <w:kern w:val="0"/>
          <w:sz w:val="21"/>
          <w:highlight w:val="none"/>
        </w:rPr>
        <w:t>根据你方采购项目的</w:t>
      </w:r>
      <w:r>
        <w:rPr>
          <w:rFonts w:hint="eastAsia" w:ascii="仿宋" w:hAnsi="仿宋" w:eastAsia="仿宋" w:cs="仿宋"/>
          <w:b/>
          <w:bCs w:val="0"/>
          <w:snapToGrid w:val="0"/>
          <w:color w:val="auto"/>
          <w:kern w:val="0"/>
          <w:sz w:val="21"/>
          <w:highlight w:val="none"/>
          <w:lang w:eastAsia="zh-CN"/>
        </w:rPr>
        <w:t>招标</w:t>
      </w:r>
      <w:r>
        <w:rPr>
          <w:rFonts w:hint="eastAsia" w:ascii="仿宋" w:hAnsi="仿宋" w:eastAsia="仿宋" w:cs="仿宋"/>
          <w:b/>
          <w:bCs w:val="0"/>
          <w:snapToGrid w:val="0"/>
          <w:color w:val="auto"/>
          <w:kern w:val="0"/>
          <w:sz w:val="21"/>
          <w:highlight w:val="none"/>
        </w:rPr>
        <w:t>文件，经研究</w:t>
      </w:r>
      <w:r>
        <w:rPr>
          <w:rFonts w:hint="eastAsia" w:ascii="仿宋" w:hAnsi="仿宋" w:eastAsia="仿宋" w:cs="仿宋"/>
          <w:b/>
          <w:bCs w:val="0"/>
          <w:snapToGrid w:val="0"/>
          <w:color w:val="auto"/>
          <w:kern w:val="0"/>
          <w:sz w:val="21"/>
          <w:highlight w:val="none"/>
          <w:lang w:eastAsia="zh-CN"/>
        </w:rPr>
        <w:t>招标</w:t>
      </w:r>
      <w:r>
        <w:rPr>
          <w:rFonts w:hint="eastAsia" w:ascii="仿宋" w:hAnsi="仿宋" w:eastAsia="仿宋" w:cs="仿宋"/>
          <w:b/>
          <w:bCs w:val="0"/>
          <w:snapToGrid w:val="0"/>
          <w:color w:val="auto"/>
          <w:kern w:val="0"/>
          <w:sz w:val="21"/>
          <w:highlight w:val="none"/>
        </w:rPr>
        <w:t>文件及其他有关文件后，决定完全接受</w:t>
      </w:r>
      <w:r>
        <w:rPr>
          <w:rFonts w:hint="eastAsia" w:ascii="仿宋" w:hAnsi="仿宋" w:eastAsia="仿宋" w:cs="仿宋"/>
          <w:b/>
          <w:bCs w:val="0"/>
          <w:snapToGrid w:val="0"/>
          <w:color w:val="auto"/>
          <w:kern w:val="0"/>
          <w:sz w:val="21"/>
          <w:highlight w:val="none"/>
          <w:lang w:eastAsia="zh-CN"/>
        </w:rPr>
        <w:t>招标</w:t>
      </w:r>
      <w:r>
        <w:rPr>
          <w:rFonts w:hint="eastAsia" w:ascii="仿宋" w:hAnsi="仿宋" w:eastAsia="仿宋" w:cs="仿宋"/>
          <w:b/>
          <w:bCs w:val="0"/>
          <w:snapToGrid w:val="0"/>
          <w:color w:val="auto"/>
          <w:kern w:val="0"/>
          <w:sz w:val="21"/>
          <w:highlight w:val="none"/>
        </w:rPr>
        <w:t>文件各项内容，进行投标并承诺报价如下：</w:t>
      </w:r>
    </w:p>
    <w:tbl>
      <w:tblPr>
        <w:tblStyle w:val="44"/>
        <w:tblpPr w:leftFromText="180" w:rightFromText="180" w:vertAnchor="text" w:horzAnchor="page" w:tblpX="1749" w:tblpY="241"/>
        <w:tblOverlap w:val="never"/>
        <w:tblW w:w="0" w:type="auto"/>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3844"/>
        <w:gridCol w:w="2841"/>
        <w:gridCol w:w="1170"/>
        <w:gridCol w:w="663"/>
      </w:tblGrid>
      <w:tr w14:paraId="1637CBA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812" w:hRule="atLeast"/>
          <w:jc w:val="center"/>
        </w:trPr>
        <w:tc>
          <w:tcPr>
            <w:tcW w:w="3844" w:type="dxa"/>
            <w:tcBorders>
              <w:top w:val="single" w:color="auto" w:sz="4" w:space="0"/>
              <w:left w:val="single" w:color="auto" w:sz="4" w:space="0"/>
              <w:bottom w:val="single" w:color="auto" w:sz="4" w:space="0"/>
              <w:right w:val="single" w:color="auto" w:sz="4" w:space="0"/>
            </w:tcBorders>
            <w:vAlign w:val="center"/>
          </w:tcPr>
          <w:p w14:paraId="62E43B72">
            <w:pPr>
              <w:spacing w:line="240" w:lineRule="auto"/>
              <w:ind w:firstLine="0" w:firstLineChars="0"/>
              <w:jc w:val="center"/>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bCs/>
                <w:snapToGrid w:val="0"/>
                <w:color w:val="auto"/>
                <w:kern w:val="0"/>
                <w:szCs w:val="24"/>
                <w:highlight w:val="none"/>
              </w:rPr>
              <w:t>项目名称</w:t>
            </w:r>
          </w:p>
        </w:tc>
        <w:tc>
          <w:tcPr>
            <w:tcW w:w="2841" w:type="dxa"/>
            <w:tcBorders>
              <w:top w:val="single" w:color="auto" w:sz="4" w:space="0"/>
              <w:left w:val="single" w:color="auto" w:sz="4" w:space="0"/>
              <w:bottom w:val="single" w:color="auto" w:sz="4" w:space="0"/>
              <w:right w:val="single" w:color="auto" w:sz="4" w:space="0"/>
            </w:tcBorders>
            <w:vAlign w:val="center"/>
          </w:tcPr>
          <w:p w14:paraId="49416CFB">
            <w:pPr>
              <w:spacing w:line="240" w:lineRule="auto"/>
              <w:ind w:firstLine="0" w:firstLineChars="0"/>
              <w:jc w:val="center"/>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bCs/>
                <w:snapToGrid w:val="0"/>
                <w:color w:val="auto"/>
                <w:kern w:val="0"/>
                <w:szCs w:val="24"/>
                <w:highlight w:val="none"/>
              </w:rPr>
              <w:t>投标报价</w:t>
            </w:r>
          </w:p>
        </w:tc>
        <w:tc>
          <w:tcPr>
            <w:tcW w:w="1170" w:type="dxa"/>
            <w:tcBorders>
              <w:top w:val="single" w:color="auto" w:sz="4" w:space="0"/>
              <w:left w:val="single" w:color="auto" w:sz="4" w:space="0"/>
              <w:bottom w:val="single" w:color="auto" w:sz="4" w:space="0"/>
              <w:right w:val="single" w:color="auto" w:sz="4" w:space="0"/>
            </w:tcBorders>
            <w:vAlign w:val="center"/>
          </w:tcPr>
          <w:p w14:paraId="7AC14720">
            <w:pPr>
              <w:spacing w:line="240" w:lineRule="auto"/>
              <w:ind w:firstLine="0" w:firstLineChars="0"/>
              <w:jc w:val="center"/>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bCs/>
                <w:snapToGrid w:val="0"/>
                <w:color w:val="auto"/>
                <w:kern w:val="0"/>
                <w:szCs w:val="24"/>
                <w:highlight w:val="none"/>
              </w:rPr>
              <w:t>增值税率</w:t>
            </w:r>
          </w:p>
        </w:tc>
        <w:tc>
          <w:tcPr>
            <w:tcW w:w="663" w:type="dxa"/>
            <w:tcBorders>
              <w:top w:val="single" w:color="auto" w:sz="4" w:space="0"/>
              <w:left w:val="single" w:color="auto" w:sz="4" w:space="0"/>
              <w:bottom w:val="single" w:color="auto" w:sz="4" w:space="0"/>
              <w:right w:val="single" w:color="auto" w:sz="4" w:space="0"/>
            </w:tcBorders>
            <w:vAlign w:val="center"/>
          </w:tcPr>
          <w:p w14:paraId="397057CA">
            <w:pPr>
              <w:spacing w:line="240" w:lineRule="auto"/>
              <w:ind w:firstLine="0" w:firstLineChars="0"/>
              <w:jc w:val="center"/>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bCs/>
                <w:snapToGrid w:val="0"/>
                <w:color w:val="auto"/>
                <w:kern w:val="0"/>
                <w:szCs w:val="24"/>
                <w:highlight w:val="none"/>
              </w:rPr>
              <w:t>备注</w:t>
            </w:r>
          </w:p>
        </w:tc>
      </w:tr>
      <w:tr w14:paraId="583C6D9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768" w:hRule="atLeast"/>
          <w:jc w:val="center"/>
        </w:trPr>
        <w:tc>
          <w:tcPr>
            <w:tcW w:w="3844" w:type="dxa"/>
            <w:tcBorders>
              <w:top w:val="single" w:color="auto" w:sz="4" w:space="0"/>
              <w:left w:val="single" w:color="auto" w:sz="4" w:space="0"/>
              <w:bottom w:val="single" w:color="auto" w:sz="4" w:space="0"/>
              <w:right w:val="single" w:color="auto" w:sz="4" w:space="0"/>
            </w:tcBorders>
            <w:vAlign w:val="center"/>
          </w:tcPr>
          <w:p w14:paraId="417D46AF">
            <w:pPr>
              <w:spacing w:line="240" w:lineRule="auto"/>
              <w:jc w:val="center"/>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bCs/>
                <w:snapToGrid w:val="0"/>
                <w:color w:val="auto"/>
                <w:kern w:val="0"/>
                <w:szCs w:val="24"/>
                <w:highlight w:val="none"/>
                <w:lang w:eastAsia="zh-CN"/>
              </w:rPr>
              <w:t>2025-2026年日常养护项目交通安全设施专业分包采购</w:t>
            </w:r>
          </w:p>
        </w:tc>
        <w:tc>
          <w:tcPr>
            <w:tcW w:w="2841" w:type="dxa"/>
            <w:tcBorders>
              <w:top w:val="single" w:color="auto" w:sz="4" w:space="0"/>
              <w:left w:val="single" w:color="auto" w:sz="4" w:space="0"/>
              <w:bottom w:val="single" w:color="auto" w:sz="4" w:space="0"/>
              <w:right w:val="single" w:color="auto" w:sz="4" w:space="0"/>
            </w:tcBorders>
            <w:vAlign w:val="center"/>
          </w:tcPr>
          <w:p w14:paraId="293BEBEA">
            <w:pPr>
              <w:spacing w:line="240" w:lineRule="auto"/>
              <w:ind w:firstLine="0" w:firstLineChars="0"/>
              <w:jc w:val="center"/>
              <w:rPr>
                <w:rFonts w:ascii="仿宋" w:hAnsi="仿宋" w:eastAsia="仿宋" w:cs="仿宋"/>
                <w:snapToGrid w:val="0"/>
                <w:color w:val="000000" w:themeColor="text1"/>
                <w:kern w:val="0"/>
                <w:highlight w:val="none"/>
                <w14:textFill>
                  <w14:solidFill>
                    <w14:schemeClr w14:val="tx1"/>
                  </w14:solidFill>
                </w14:textFill>
              </w:rPr>
            </w:pPr>
          </w:p>
        </w:tc>
        <w:tc>
          <w:tcPr>
            <w:tcW w:w="1170" w:type="dxa"/>
            <w:tcBorders>
              <w:top w:val="single" w:color="auto" w:sz="4" w:space="0"/>
              <w:left w:val="single" w:color="auto" w:sz="4" w:space="0"/>
              <w:bottom w:val="single" w:color="auto" w:sz="4" w:space="0"/>
              <w:right w:val="single" w:color="auto" w:sz="4" w:space="0"/>
            </w:tcBorders>
            <w:vAlign w:val="center"/>
          </w:tcPr>
          <w:p w14:paraId="35C504AF">
            <w:pPr>
              <w:spacing w:line="240" w:lineRule="auto"/>
              <w:ind w:firstLine="0" w:firstLineChars="0"/>
              <w:jc w:val="center"/>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bCs/>
                <w:snapToGrid w:val="0"/>
                <w:color w:val="auto"/>
                <w:kern w:val="0"/>
                <w:szCs w:val="24"/>
                <w:highlight w:val="none"/>
              </w:rPr>
              <w:t>%</w:t>
            </w:r>
          </w:p>
        </w:tc>
        <w:tc>
          <w:tcPr>
            <w:tcW w:w="663" w:type="dxa"/>
            <w:tcBorders>
              <w:top w:val="single" w:color="auto" w:sz="4" w:space="0"/>
              <w:left w:val="single" w:color="auto" w:sz="4" w:space="0"/>
              <w:bottom w:val="single" w:color="auto" w:sz="4" w:space="0"/>
              <w:right w:val="single" w:color="auto" w:sz="4" w:space="0"/>
            </w:tcBorders>
            <w:vAlign w:val="center"/>
          </w:tcPr>
          <w:p w14:paraId="06472909">
            <w:pPr>
              <w:spacing w:line="240" w:lineRule="auto"/>
              <w:jc w:val="center"/>
              <w:rPr>
                <w:rFonts w:ascii="仿宋" w:hAnsi="仿宋" w:eastAsia="仿宋" w:cs="仿宋"/>
                <w:snapToGrid w:val="0"/>
                <w:color w:val="000000" w:themeColor="text1"/>
                <w:kern w:val="0"/>
                <w:highlight w:val="none"/>
                <w14:textFill>
                  <w14:solidFill>
                    <w14:schemeClr w14:val="tx1"/>
                  </w14:solidFill>
                </w14:textFill>
              </w:rPr>
            </w:pPr>
          </w:p>
        </w:tc>
      </w:tr>
    </w:tbl>
    <w:p w14:paraId="278479DF">
      <w:pPr>
        <w:spacing w:line="240" w:lineRule="auto"/>
        <w:rPr>
          <w:rFonts w:hint="eastAsia" w:ascii="仿宋" w:hAnsi="仿宋" w:eastAsia="仿宋" w:cs="仿宋"/>
          <w:bCs/>
          <w:snapToGrid w:val="0"/>
          <w:color w:val="auto"/>
          <w:kern w:val="0"/>
          <w:sz w:val="21"/>
          <w:highlight w:val="none"/>
        </w:rPr>
      </w:pPr>
      <w:r>
        <w:rPr>
          <w:rFonts w:hint="eastAsia" w:ascii="仿宋" w:hAnsi="仿宋" w:eastAsia="仿宋" w:cs="仿宋"/>
          <w:bCs/>
          <w:snapToGrid w:val="0"/>
          <w:color w:val="auto"/>
          <w:kern w:val="0"/>
          <w:sz w:val="21"/>
          <w:highlight w:val="none"/>
        </w:rPr>
        <w:t>说明：</w:t>
      </w:r>
    </w:p>
    <w:p w14:paraId="6A22ED1B">
      <w:pPr>
        <w:spacing w:line="240" w:lineRule="auto"/>
        <w:ind w:left="0" w:leftChars="0" w:firstLine="420" w:firstLineChars="200"/>
        <w:jc w:val="left"/>
        <w:rPr>
          <w:rFonts w:hint="eastAsia" w:ascii="仿宋" w:hAnsi="仿宋" w:eastAsia="仿宋" w:cs="仿宋"/>
          <w:b w:val="0"/>
          <w:bCs/>
          <w:snapToGrid w:val="0"/>
          <w:color w:val="auto"/>
          <w:kern w:val="0"/>
          <w:szCs w:val="24"/>
          <w:highlight w:val="none"/>
          <w:lang w:val="en-US" w:eastAsia="zh-CN"/>
        </w:rPr>
      </w:pPr>
      <w:r>
        <w:rPr>
          <w:rFonts w:hint="eastAsia" w:ascii="仿宋" w:hAnsi="仿宋" w:eastAsia="仿宋" w:cs="仿宋"/>
          <w:b w:val="0"/>
          <w:bCs/>
          <w:snapToGrid w:val="0"/>
          <w:color w:val="auto"/>
          <w:kern w:val="0"/>
          <w:szCs w:val="24"/>
          <w:highlight w:val="none"/>
          <w:lang w:val="en-US" w:eastAsia="zh-CN"/>
        </w:rPr>
        <w:t>1.</w:t>
      </w:r>
      <w:r>
        <w:rPr>
          <w:rFonts w:hint="eastAsia" w:ascii="仿宋" w:hAnsi="仿宋" w:eastAsia="仿宋" w:cs="仿宋"/>
          <w:b w:val="0"/>
          <w:bCs/>
          <w:snapToGrid w:val="0"/>
          <w:color w:val="auto"/>
          <w:kern w:val="0"/>
          <w:szCs w:val="24"/>
          <w:highlight w:val="none"/>
        </w:rPr>
        <w:t>投标人</w:t>
      </w:r>
      <w:r>
        <w:rPr>
          <w:rFonts w:hint="eastAsia" w:ascii="仿宋" w:hAnsi="仿宋" w:eastAsia="仿宋" w:cs="仿宋"/>
          <w:b w:val="0"/>
          <w:bCs/>
          <w:snapToGrid w:val="0"/>
          <w:color w:val="auto"/>
          <w:kern w:val="0"/>
          <w:szCs w:val="24"/>
          <w:highlight w:val="none"/>
          <w:lang w:val="en-US" w:eastAsia="zh-CN"/>
        </w:rPr>
        <w:t>同意</w:t>
      </w:r>
      <w:r>
        <w:rPr>
          <w:rFonts w:hint="eastAsia" w:ascii="仿宋" w:hAnsi="仿宋" w:eastAsia="仿宋" w:cs="仿宋"/>
          <w:bCs/>
          <w:snapToGrid w:val="0"/>
          <w:color w:val="auto"/>
          <w:kern w:val="0"/>
          <w:sz w:val="21"/>
          <w:highlight w:val="none"/>
          <w:lang w:val="en-US" w:eastAsia="zh-CN"/>
        </w:rPr>
        <w:t>以综合得分排名前二名的</w:t>
      </w:r>
      <w:r>
        <w:rPr>
          <w:rFonts w:hint="eastAsia" w:ascii="仿宋" w:hAnsi="仿宋" w:eastAsia="仿宋" w:cs="仿宋"/>
          <w:bCs/>
          <w:snapToGrid w:val="0"/>
          <w:color w:val="auto"/>
          <w:kern w:val="0"/>
          <w:sz w:val="21"/>
          <w:highlight w:val="none"/>
        </w:rPr>
        <w:t>中标</w:t>
      </w:r>
      <w:r>
        <w:rPr>
          <w:rFonts w:hint="eastAsia" w:ascii="仿宋" w:hAnsi="仿宋" w:eastAsia="仿宋" w:cs="仿宋"/>
          <w:bCs/>
          <w:snapToGrid w:val="0"/>
          <w:color w:val="auto"/>
          <w:kern w:val="0"/>
          <w:sz w:val="21"/>
          <w:highlight w:val="none"/>
          <w:lang w:val="en-US" w:eastAsia="zh-CN"/>
        </w:rPr>
        <w:t>候选人</w:t>
      </w:r>
      <w:r>
        <w:rPr>
          <w:rFonts w:hint="eastAsia" w:ascii="仿宋" w:hAnsi="仿宋" w:eastAsia="仿宋" w:cs="仿宋"/>
          <w:bCs/>
          <w:snapToGrid w:val="0"/>
          <w:color w:val="auto"/>
          <w:kern w:val="0"/>
          <w:sz w:val="21"/>
          <w:highlight w:val="none"/>
        </w:rPr>
        <w:t>的评审报价的</w:t>
      </w:r>
      <w:r>
        <w:rPr>
          <w:rFonts w:hint="eastAsia" w:ascii="仿宋" w:hAnsi="仿宋" w:eastAsia="仿宋" w:cs="仿宋"/>
          <w:bCs/>
          <w:snapToGrid w:val="0"/>
          <w:color w:val="auto"/>
          <w:kern w:val="0"/>
          <w:sz w:val="21"/>
          <w:highlight w:val="none"/>
          <w:lang w:val="en-US" w:eastAsia="zh-CN"/>
        </w:rPr>
        <w:t>算术</w:t>
      </w:r>
      <w:r>
        <w:rPr>
          <w:rFonts w:hint="eastAsia" w:ascii="仿宋" w:hAnsi="仿宋" w:eastAsia="仿宋" w:cs="仿宋"/>
          <w:bCs/>
          <w:snapToGrid w:val="0"/>
          <w:color w:val="auto"/>
          <w:kern w:val="0"/>
          <w:sz w:val="21"/>
          <w:highlight w:val="none"/>
        </w:rPr>
        <w:t>平均值</w:t>
      </w:r>
      <w:r>
        <w:rPr>
          <w:rFonts w:hint="eastAsia" w:ascii="仿宋" w:hAnsi="仿宋" w:eastAsia="仿宋" w:cs="仿宋"/>
          <w:bCs/>
          <w:snapToGrid w:val="0"/>
          <w:color w:val="auto"/>
          <w:kern w:val="0"/>
          <w:sz w:val="21"/>
          <w:highlight w:val="none"/>
          <w:lang w:val="en-US" w:eastAsia="zh-CN"/>
        </w:rPr>
        <w:t>为中标价。</w:t>
      </w:r>
    </w:p>
    <w:p w14:paraId="3B4F7BA8">
      <w:pPr>
        <w:widowControl/>
        <w:numPr>
          <w:ilvl w:val="-1"/>
          <w:numId w:val="0"/>
        </w:numPr>
        <w:spacing w:after="0" w:line="240" w:lineRule="auto"/>
        <w:ind w:left="0" w:firstLine="420" w:firstLineChars="200"/>
        <w:jc w:val="left"/>
        <w:rPr>
          <w:rFonts w:hint="eastAsia" w:ascii="仿宋" w:hAnsi="仿宋" w:eastAsia="仿宋" w:cs="仿宋"/>
          <w:bCs/>
          <w:snapToGrid w:val="0"/>
          <w:color w:val="auto"/>
          <w:kern w:val="0"/>
          <w:sz w:val="21"/>
          <w:highlight w:val="none"/>
        </w:rPr>
      </w:pPr>
      <w:r>
        <w:rPr>
          <w:rFonts w:hint="eastAsia" w:ascii="仿宋" w:hAnsi="仿宋" w:eastAsia="仿宋" w:cs="仿宋"/>
          <w:b w:val="0"/>
          <w:bCs/>
          <w:snapToGrid w:val="0"/>
          <w:color w:val="auto"/>
          <w:kern w:val="0"/>
          <w:szCs w:val="24"/>
          <w:highlight w:val="none"/>
          <w:lang w:val="en-US" w:eastAsia="zh-CN"/>
        </w:rPr>
        <w:t>2.</w:t>
      </w:r>
      <w:r>
        <w:rPr>
          <w:rFonts w:hint="eastAsia" w:ascii="仿宋" w:hAnsi="仿宋" w:eastAsia="仿宋" w:cs="仿宋"/>
          <w:bCs/>
          <w:snapToGrid w:val="0"/>
          <w:color w:val="auto"/>
          <w:kern w:val="0"/>
          <w:sz w:val="21"/>
          <w:highlight w:val="none"/>
        </w:rPr>
        <w:t>本项目采用固定综合单价计价方式，该综合单价包括但不限于为实施和完成工程项目所需的劳务、材料、机械、质检（自检）、安装、缺陷修复、管理、利润、保险、措施费（含交通疏解费）、规费、税金等一切费用，以及合同明示或暗示的所有责任、义务和一切风险，且合同期内不予调整。</w:t>
      </w:r>
    </w:p>
    <w:p w14:paraId="55D14CCC">
      <w:pPr>
        <w:widowControl/>
        <w:numPr>
          <w:ilvl w:val="-1"/>
          <w:numId w:val="0"/>
        </w:numPr>
        <w:spacing w:after="0" w:line="240" w:lineRule="auto"/>
        <w:ind w:left="0" w:firstLine="420" w:firstLineChars="200"/>
        <w:jc w:val="left"/>
        <w:rPr>
          <w:rFonts w:hint="eastAsia" w:ascii="仿宋" w:hAnsi="仿宋" w:eastAsia="仿宋" w:cs="仿宋"/>
          <w:bCs/>
          <w:snapToGrid w:val="0"/>
          <w:color w:val="auto"/>
          <w:kern w:val="0"/>
          <w:sz w:val="21"/>
          <w:szCs w:val="24"/>
          <w:highlight w:val="none"/>
        </w:rPr>
      </w:pPr>
      <w:r>
        <w:rPr>
          <w:rFonts w:hint="eastAsia" w:ascii="仿宋" w:hAnsi="仿宋" w:eastAsia="仿宋" w:cs="仿宋"/>
          <w:bCs/>
          <w:snapToGrid w:val="0"/>
          <w:color w:val="auto"/>
          <w:kern w:val="0"/>
          <w:sz w:val="21"/>
          <w:highlight w:val="none"/>
          <w:lang w:val="en-US" w:eastAsia="zh-CN"/>
        </w:rPr>
        <w:t>3.</w:t>
      </w:r>
      <w:r>
        <w:rPr>
          <w:rFonts w:hint="eastAsia" w:ascii="仿宋" w:hAnsi="仿宋" w:eastAsia="仿宋" w:cs="仿宋"/>
          <w:bCs/>
          <w:snapToGrid w:val="0"/>
          <w:color w:val="auto"/>
          <w:kern w:val="0"/>
          <w:sz w:val="21"/>
          <w:highlight w:val="none"/>
        </w:rPr>
        <w:t>本项目为专业分包，投标单位须自行处理实施过程中涉及与相关政府职能部门、项目技术咨询服务单位、业主单位沟通协调，费用已包含在投标报价内。</w:t>
      </w:r>
    </w:p>
    <w:p w14:paraId="103CB574">
      <w:pPr>
        <w:widowControl/>
        <w:numPr>
          <w:ilvl w:val="-1"/>
          <w:numId w:val="0"/>
        </w:numPr>
        <w:spacing w:line="240" w:lineRule="auto"/>
        <w:ind w:left="0" w:firstLine="420" w:firstLineChars="200"/>
        <w:jc w:val="left"/>
        <w:rPr>
          <w:rFonts w:hint="eastAsia" w:ascii="仿宋" w:hAnsi="仿宋" w:eastAsia="仿宋" w:cs="仿宋"/>
          <w:bCs/>
          <w:snapToGrid w:val="0"/>
          <w:color w:val="auto"/>
          <w:kern w:val="0"/>
          <w:sz w:val="21"/>
          <w:szCs w:val="24"/>
          <w:highlight w:val="none"/>
          <w:lang w:val="en-US" w:eastAsia="zh-CN" w:bidi="ar-SA"/>
        </w:rPr>
      </w:pPr>
      <w:r>
        <w:rPr>
          <w:rFonts w:hint="eastAsia" w:ascii="仿宋" w:hAnsi="仿宋" w:eastAsia="仿宋" w:cs="仿宋"/>
          <w:bCs/>
          <w:snapToGrid w:val="0"/>
          <w:color w:val="auto"/>
          <w:kern w:val="0"/>
          <w:sz w:val="21"/>
          <w:szCs w:val="24"/>
          <w:highlight w:val="none"/>
          <w:lang w:val="en-US" w:eastAsia="zh-CN" w:bidi="ar-SA"/>
        </w:rPr>
        <w:t>4.投标人应充分考虑本工程特点及其它的风险因素，依据本工程招标文件的具体要求，并对本工程进行详细了解，根据本企业自身情况，充分考虑各影响因素后进行报价。</w:t>
      </w:r>
    </w:p>
    <w:p w14:paraId="3984BBD0">
      <w:pPr>
        <w:widowControl/>
        <w:numPr>
          <w:ilvl w:val="-1"/>
          <w:numId w:val="0"/>
        </w:numPr>
        <w:spacing w:line="240" w:lineRule="auto"/>
        <w:ind w:left="0" w:firstLine="420" w:firstLineChars="200"/>
        <w:jc w:val="left"/>
        <w:rPr>
          <w:rFonts w:hint="eastAsia" w:ascii="仿宋" w:hAnsi="仿宋" w:eastAsia="仿宋" w:cs="仿宋"/>
          <w:bCs/>
          <w:snapToGrid w:val="0"/>
          <w:color w:val="auto"/>
          <w:kern w:val="0"/>
          <w:sz w:val="21"/>
          <w:szCs w:val="24"/>
          <w:highlight w:val="none"/>
          <w:lang w:val="en-US" w:eastAsia="zh-CN" w:bidi="ar-SA"/>
        </w:rPr>
      </w:pPr>
      <w:r>
        <w:rPr>
          <w:rFonts w:hint="eastAsia" w:ascii="仿宋" w:hAnsi="仿宋" w:eastAsia="仿宋" w:cs="仿宋"/>
          <w:bCs/>
          <w:snapToGrid w:val="0"/>
          <w:color w:val="auto"/>
          <w:kern w:val="0"/>
          <w:sz w:val="21"/>
          <w:szCs w:val="24"/>
          <w:highlight w:val="none"/>
          <w:lang w:val="en-US" w:eastAsia="zh-CN" w:bidi="ar-SA"/>
        </w:rPr>
        <w:t>5.投标人应充分考虑市场价格波动风险，本项目合同履约期间不接受调价。</w:t>
      </w:r>
    </w:p>
    <w:p w14:paraId="4BD6C830">
      <w:pPr>
        <w:widowControl/>
        <w:numPr>
          <w:ilvl w:val="-1"/>
          <w:numId w:val="0"/>
        </w:numPr>
        <w:spacing w:line="240" w:lineRule="auto"/>
        <w:ind w:left="0" w:firstLine="420" w:firstLineChars="200"/>
        <w:jc w:val="left"/>
        <w:rPr>
          <w:rFonts w:hint="eastAsia" w:ascii="仿宋" w:hAnsi="仿宋" w:eastAsia="仿宋" w:cs="仿宋"/>
          <w:bCs/>
          <w:snapToGrid w:val="0"/>
          <w:color w:val="auto"/>
          <w:kern w:val="0"/>
          <w:sz w:val="21"/>
          <w:szCs w:val="24"/>
          <w:highlight w:val="none"/>
          <w:lang w:val="en-US" w:eastAsia="zh-CN" w:bidi="ar-SA"/>
        </w:rPr>
      </w:pPr>
      <w:r>
        <w:rPr>
          <w:rFonts w:hint="eastAsia" w:ascii="仿宋" w:hAnsi="仿宋" w:eastAsia="仿宋" w:cs="仿宋"/>
          <w:bCs/>
          <w:snapToGrid w:val="0"/>
          <w:color w:val="auto"/>
          <w:kern w:val="0"/>
          <w:sz w:val="21"/>
          <w:szCs w:val="24"/>
          <w:highlight w:val="none"/>
          <w:lang w:val="en-US" w:eastAsia="zh-CN" w:bidi="ar-SA"/>
        </w:rPr>
        <w:t>6.投标人不得以低于成本的报价竞标；评标委员会认为投标人的报价明显低于其他通过符合性审查投标人的报价，有可能影响服务质量或者不能诚信履约的，应当要求其在合理的时间内提供书面说明，必要时提交相关证明材料，投标人不能证明其报价合理性的，评标委员会应当将其作为无效投标处理。</w:t>
      </w:r>
    </w:p>
    <w:p w14:paraId="604CEF2A">
      <w:pPr>
        <w:widowControl/>
        <w:numPr>
          <w:ilvl w:val="-1"/>
          <w:numId w:val="0"/>
        </w:numPr>
        <w:spacing w:after="0" w:line="240" w:lineRule="auto"/>
        <w:ind w:left="0" w:firstLine="420" w:firstLineChars="200"/>
        <w:jc w:val="left"/>
        <w:rPr>
          <w:rFonts w:hint="eastAsia" w:ascii="仿宋" w:hAnsi="仿宋" w:eastAsia="仿宋" w:cs="仿宋"/>
          <w:bCs/>
          <w:snapToGrid w:val="0"/>
          <w:color w:val="auto"/>
          <w:kern w:val="0"/>
          <w:sz w:val="21"/>
          <w:highlight w:val="none"/>
        </w:rPr>
      </w:pPr>
      <w:r>
        <w:rPr>
          <w:rFonts w:hint="eastAsia" w:ascii="仿宋" w:hAnsi="仿宋" w:eastAsia="仿宋" w:cs="仿宋"/>
          <w:bCs/>
          <w:snapToGrid w:val="0"/>
          <w:color w:val="auto"/>
          <w:kern w:val="0"/>
          <w:sz w:val="21"/>
          <w:highlight w:val="none"/>
          <w:lang w:val="en-US" w:eastAsia="zh-CN"/>
        </w:rPr>
        <w:t>7.</w:t>
      </w:r>
      <w:r>
        <w:rPr>
          <w:rFonts w:hint="eastAsia" w:ascii="仿宋" w:hAnsi="仿宋" w:eastAsia="仿宋" w:cs="仿宋"/>
          <w:bCs/>
          <w:snapToGrid w:val="0"/>
          <w:color w:val="auto"/>
          <w:kern w:val="0"/>
          <w:sz w:val="21"/>
          <w:highlight w:val="none"/>
        </w:rPr>
        <w:t>投标人必须同时填报“投标报价”和“增值税率”（投标报价=1-投标下浮率）。“投标报价”和“增值税率”缺填、漏填、错填一项及以上的，将直接作投标无效处理；</w:t>
      </w:r>
    </w:p>
    <w:p w14:paraId="5D5223DD">
      <w:pPr>
        <w:widowControl/>
        <w:numPr>
          <w:ilvl w:val="-1"/>
          <w:numId w:val="0"/>
        </w:numPr>
        <w:spacing w:after="0" w:line="240" w:lineRule="auto"/>
        <w:ind w:left="0" w:firstLine="420" w:firstLineChars="200"/>
        <w:jc w:val="left"/>
        <w:rPr>
          <w:rFonts w:hint="eastAsia" w:ascii="仿宋" w:hAnsi="仿宋" w:eastAsia="仿宋" w:cs="仿宋"/>
          <w:bCs/>
          <w:snapToGrid w:val="0"/>
          <w:color w:val="auto"/>
          <w:kern w:val="0"/>
          <w:sz w:val="21"/>
          <w:highlight w:val="none"/>
        </w:rPr>
      </w:pPr>
      <w:r>
        <w:rPr>
          <w:rFonts w:hint="eastAsia" w:ascii="仿宋" w:hAnsi="仿宋" w:eastAsia="仿宋" w:cs="仿宋"/>
          <w:bCs/>
          <w:snapToGrid w:val="0"/>
          <w:color w:val="auto"/>
          <w:kern w:val="0"/>
          <w:sz w:val="21"/>
          <w:highlight w:val="none"/>
          <w:lang w:val="en-US" w:eastAsia="zh-CN"/>
        </w:rPr>
        <w:t>8.</w:t>
      </w:r>
      <w:r>
        <w:rPr>
          <w:rFonts w:hint="eastAsia" w:ascii="仿宋" w:hAnsi="仿宋" w:eastAsia="仿宋" w:cs="仿宋"/>
          <w:bCs/>
          <w:snapToGrid w:val="0"/>
          <w:color w:val="auto"/>
          <w:kern w:val="0"/>
          <w:sz w:val="21"/>
          <w:highlight w:val="none"/>
        </w:rPr>
        <w:t>投标报价为1-投标下浮率，例如：投标人的下浮率为30%，那么投标报价=1-投标下浮率（30%）=0.700；填写的投标报价应为三位小数，若不足三位小数，默认后面不足部分为零，例如0.690、0.691等；</w:t>
      </w:r>
    </w:p>
    <w:p w14:paraId="513E7E8C">
      <w:pPr>
        <w:widowControl/>
        <w:numPr>
          <w:ilvl w:val="0"/>
          <w:numId w:val="0"/>
        </w:numPr>
        <w:ind w:firstLine="420" w:firstLineChars="200"/>
        <w:jc w:val="left"/>
        <w:rPr>
          <w:rFonts w:hint="eastAsia" w:ascii="仿宋" w:hAnsi="仿宋" w:eastAsia="仿宋" w:cs="仿宋"/>
          <w:b w:val="0"/>
          <w:bCs/>
          <w:snapToGrid w:val="0"/>
          <w:color w:val="auto"/>
          <w:kern w:val="0"/>
          <w:szCs w:val="24"/>
          <w:highlight w:val="none"/>
        </w:rPr>
      </w:pPr>
      <w:r>
        <w:rPr>
          <w:rFonts w:hint="eastAsia" w:ascii="仿宋" w:hAnsi="仿宋" w:eastAsia="仿宋" w:cs="仿宋"/>
          <w:bCs/>
          <w:snapToGrid w:val="0"/>
          <w:color w:val="auto"/>
          <w:kern w:val="0"/>
          <w:sz w:val="21"/>
          <w:szCs w:val="24"/>
          <w:highlight w:val="none"/>
          <w:lang w:val="en-US" w:eastAsia="zh-CN" w:bidi="ar-SA"/>
        </w:rPr>
        <w:t>9.增值税率填写要求：在%前填写整数；投标人参与投标只允许填报唯一1个“投标报价”和1个“增值税率”，填报了2个或以上“投标报价”和“增值税率”的，其投标将直接作投标无效处理。</w:t>
      </w:r>
    </w:p>
    <w:p w14:paraId="1D911DE8">
      <w:pPr>
        <w:spacing w:beforeLines="0"/>
        <w:ind w:firstLine="422" w:firstLineChars="200"/>
        <w:rPr>
          <w:rFonts w:ascii="仿宋" w:hAnsi="仿宋" w:eastAsia="仿宋" w:cs="仿宋"/>
          <w:b/>
          <w:snapToGrid w:val="0"/>
          <w:color w:val="auto"/>
          <w:kern w:val="0"/>
          <w:highlight w:val="none"/>
        </w:rPr>
      </w:pPr>
      <w:r>
        <w:rPr>
          <w:rFonts w:hint="eastAsia" w:ascii="仿宋" w:hAnsi="仿宋" w:eastAsia="仿宋" w:cs="仿宋"/>
          <w:b/>
          <w:bCs/>
          <w:color w:val="000000" w:themeColor="text1"/>
          <w:szCs w:val="21"/>
          <w:highlight w:val="none"/>
          <w:lang w:val="en-US" w:eastAsia="zh-CN"/>
          <w14:textFill>
            <w14:solidFill>
              <w14:schemeClr w14:val="tx1"/>
            </w14:solidFill>
          </w14:textFill>
        </w:rPr>
        <w:t>10</w:t>
      </w:r>
      <w:r>
        <w:rPr>
          <w:rFonts w:hint="eastAsia" w:ascii="仿宋" w:hAnsi="仿宋" w:eastAsia="仿宋" w:cs="仿宋"/>
          <w:b/>
          <w:bCs/>
          <w:snapToGrid w:val="0"/>
          <w:color w:val="auto"/>
          <w:kern w:val="0"/>
          <w:highlight w:val="none"/>
        </w:rPr>
        <w:t>.</w:t>
      </w:r>
      <w:r>
        <w:rPr>
          <w:rFonts w:hint="eastAsia" w:ascii="仿宋" w:hAnsi="仿宋" w:eastAsia="仿宋" w:cs="仿宋"/>
          <w:b/>
          <w:snapToGrid w:val="0"/>
          <w:color w:val="auto"/>
          <w:kern w:val="0"/>
          <w:highlight w:val="none"/>
        </w:rPr>
        <w:t>《</w:t>
      </w:r>
      <w:r>
        <w:rPr>
          <w:rFonts w:hint="eastAsia" w:ascii="仿宋" w:hAnsi="仿宋" w:eastAsia="仿宋" w:cs="仿宋"/>
          <w:b/>
          <w:snapToGrid w:val="0"/>
          <w:color w:val="auto"/>
          <w:kern w:val="0"/>
          <w:highlight w:val="none"/>
          <w:lang w:eastAsia="zh-CN"/>
        </w:rPr>
        <w:t>报价一览表</w:t>
      </w:r>
      <w:r>
        <w:rPr>
          <w:rFonts w:hint="eastAsia" w:ascii="仿宋" w:hAnsi="仿宋" w:eastAsia="仿宋" w:cs="仿宋"/>
          <w:b/>
          <w:snapToGrid w:val="0"/>
          <w:color w:val="auto"/>
          <w:kern w:val="0"/>
          <w:highlight w:val="none"/>
        </w:rPr>
        <w:t>》作为开标时唱标的依据，除按格式要求放入投标文件中外，还应另行单独密封提交一份，在封口密封处加盖公章（或密封封口处粘贴封条并加盖投标单位公章），并在信封上标明“</w:t>
      </w:r>
      <w:r>
        <w:rPr>
          <w:rFonts w:hint="eastAsia" w:ascii="仿宋" w:hAnsi="仿宋" w:eastAsia="仿宋" w:cs="仿宋"/>
          <w:b/>
          <w:snapToGrid w:val="0"/>
          <w:color w:val="auto"/>
          <w:kern w:val="0"/>
          <w:highlight w:val="none"/>
          <w:lang w:eastAsia="zh-CN"/>
        </w:rPr>
        <w:t>报价一览表</w:t>
      </w:r>
      <w:r>
        <w:rPr>
          <w:rFonts w:hint="eastAsia" w:ascii="仿宋" w:hAnsi="仿宋" w:eastAsia="仿宋" w:cs="仿宋"/>
          <w:b/>
          <w:snapToGrid w:val="0"/>
          <w:color w:val="auto"/>
          <w:kern w:val="0"/>
          <w:highlight w:val="none"/>
        </w:rPr>
        <w:t>”字样。</w:t>
      </w:r>
    </w:p>
    <w:p w14:paraId="3FBC7945">
      <w:pPr>
        <w:ind w:firstLine="422" w:firstLineChars="200"/>
        <w:rPr>
          <w:rFonts w:ascii="仿宋" w:hAnsi="仿宋" w:eastAsia="仿宋" w:cs="仿宋"/>
          <w:b/>
          <w:snapToGrid w:val="0"/>
          <w:color w:val="auto"/>
          <w:kern w:val="0"/>
          <w:highlight w:val="none"/>
        </w:rPr>
      </w:pPr>
      <w:r>
        <w:rPr>
          <w:rFonts w:hint="eastAsia" w:ascii="仿宋" w:hAnsi="仿宋" w:eastAsia="仿宋" w:cs="仿宋"/>
          <w:b/>
          <w:snapToGrid w:val="0"/>
          <w:color w:val="auto"/>
          <w:kern w:val="0"/>
          <w:highlight w:val="none"/>
          <w:lang w:val="en-US" w:eastAsia="zh-CN"/>
        </w:rPr>
        <w:t>11</w:t>
      </w:r>
      <w:r>
        <w:rPr>
          <w:rFonts w:hint="eastAsia" w:ascii="仿宋" w:hAnsi="仿宋" w:eastAsia="仿宋" w:cs="仿宋"/>
          <w:b/>
          <w:snapToGrid w:val="0"/>
          <w:color w:val="auto"/>
          <w:kern w:val="0"/>
          <w:highlight w:val="none"/>
        </w:rPr>
        <w:t>.《</w:t>
      </w:r>
      <w:r>
        <w:rPr>
          <w:rFonts w:hint="eastAsia" w:ascii="仿宋" w:hAnsi="仿宋" w:eastAsia="仿宋" w:cs="仿宋"/>
          <w:b/>
          <w:snapToGrid w:val="0"/>
          <w:color w:val="auto"/>
          <w:kern w:val="0"/>
          <w:highlight w:val="none"/>
          <w:lang w:eastAsia="zh-CN"/>
        </w:rPr>
        <w:t>报价一览表</w:t>
      </w:r>
      <w:r>
        <w:rPr>
          <w:rFonts w:hint="eastAsia" w:ascii="仿宋" w:hAnsi="仿宋" w:eastAsia="仿宋" w:cs="仿宋"/>
          <w:b/>
          <w:snapToGrid w:val="0"/>
          <w:color w:val="auto"/>
          <w:kern w:val="0"/>
          <w:highlight w:val="none"/>
        </w:rPr>
        <w:t>》未按招标文件规定签字、盖章、密封的，将导致废标。</w:t>
      </w:r>
    </w:p>
    <w:p w14:paraId="5789F0E6">
      <w:pPr>
        <w:jc w:val="left"/>
        <w:rPr>
          <w:rFonts w:hint="eastAsia" w:ascii="仿宋" w:hAnsi="仿宋" w:eastAsia="仿宋" w:cs="仿宋"/>
          <w:color w:val="auto"/>
          <w:highlight w:val="none"/>
        </w:rPr>
      </w:pPr>
    </w:p>
    <w:p w14:paraId="2370B97F">
      <w:pPr>
        <w:ind w:firstLine="3150" w:firstLineChars="1500"/>
        <w:jc w:val="left"/>
        <w:rPr>
          <w:rFonts w:ascii="仿宋" w:hAnsi="仿宋" w:eastAsia="仿宋" w:cs="仿宋"/>
          <w:color w:val="auto"/>
          <w:highlight w:val="none"/>
        </w:rPr>
      </w:pPr>
      <w:r>
        <w:rPr>
          <w:rFonts w:hint="eastAsia" w:ascii="仿宋" w:hAnsi="仿宋" w:eastAsia="仿宋" w:cs="仿宋"/>
          <w:color w:val="auto"/>
          <w:highlight w:val="none"/>
        </w:rPr>
        <w:t>法定代表人或其授权委托人（</w:t>
      </w:r>
      <w:r>
        <w:rPr>
          <w:rFonts w:hint="eastAsia" w:ascii="仿宋" w:hAnsi="仿宋" w:eastAsia="仿宋" w:cs="仿宋"/>
          <w:b/>
          <w:color w:val="FF0000"/>
          <w:highlight w:val="none"/>
        </w:rPr>
        <w:t>签名或盖私章</w:t>
      </w:r>
      <w:r>
        <w:rPr>
          <w:rFonts w:hint="eastAsia" w:ascii="仿宋" w:hAnsi="仿宋" w:eastAsia="仿宋" w:cs="仿宋"/>
          <w:color w:val="auto"/>
          <w:highlight w:val="none"/>
        </w:rPr>
        <w:t>）：</w:t>
      </w:r>
    </w:p>
    <w:p w14:paraId="75341C26">
      <w:pPr>
        <w:ind w:firstLine="3150" w:firstLineChars="1500"/>
        <w:jc w:val="left"/>
        <w:rPr>
          <w:rFonts w:ascii="仿宋" w:hAnsi="仿宋" w:eastAsia="仿宋" w:cs="仿宋"/>
          <w:color w:val="auto"/>
          <w:highlight w:val="none"/>
        </w:rPr>
      </w:pPr>
      <w:r>
        <w:rPr>
          <w:rFonts w:hint="eastAsia" w:ascii="仿宋" w:hAnsi="仿宋" w:eastAsia="仿宋" w:cs="仿宋"/>
          <w:color w:val="auto"/>
          <w:highlight w:val="none"/>
        </w:rPr>
        <w:t>投标单位（</w:t>
      </w:r>
      <w:r>
        <w:rPr>
          <w:rFonts w:hint="eastAsia" w:ascii="仿宋" w:hAnsi="仿宋" w:eastAsia="仿宋" w:cs="仿宋"/>
          <w:b/>
          <w:color w:val="FF0000"/>
          <w:highlight w:val="none"/>
        </w:rPr>
        <w:t>盖公章</w:t>
      </w:r>
      <w:r>
        <w:rPr>
          <w:rFonts w:hint="eastAsia" w:ascii="仿宋" w:hAnsi="仿宋" w:eastAsia="仿宋" w:cs="仿宋"/>
          <w:color w:val="auto"/>
          <w:highlight w:val="none"/>
        </w:rPr>
        <w:t>）：</w:t>
      </w:r>
    </w:p>
    <w:p w14:paraId="15470105">
      <w:pPr>
        <w:ind w:firstLine="3150" w:firstLineChars="1500"/>
        <w:jc w:val="left"/>
        <w:rPr>
          <w:rFonts w:hint="eastAsia" w:ascii="仿宋" w:hAnsi="仿宋" w:eastAsia="仿宋" w:cs="仿宋"/>
          <w:color w:val="auto"/>
          <w:highlight w:val="none"/>
        </w:rPr>
      </w:pPr>
      <w:r>
        <w:rPr>
          <w:rFonts w:hint="eastAsia" w:ascii="仿宋" w:hAnsi="仿宋" w:eastAsia="仿宋" w:cs="仿宋"/>
          <w:color w:val="auto"/>
          <w:highlight w:val="none"/>
        </w:rPr>
        <w:t>日期：    年  月  日</w:t>
      </w:r>
    </w:p>
    <w:p w14:paraId="1C9E653B">
      <w:pPr>
        <w:rPr>
          <w:rFonts w:hint="eastAsia" w:ascii="仿宋" w:hAnsi="仿宋" w:eastAsia="仿宋" w:cs="仿宋"/>
          <w:color w:val="auto"/>
          <w:highlight w:val="none"/>
        </w:rPr>
      </w:pPr>
      <w:r>
        <w:rPr>
          <w:rFonts w:hint="eastAsia" w:ascii="仿宋" w:hAnsi="仿宋" w:eastAsia="仿宋" w:cs="仿宋"/>
          <w:color w:val="auto"/>
          <w:highlight w:val="none"/>
        </w:rPr>
        <w:br w:type="page"/>
      </w:r>
    </w:p>
    <w:bookmarkEnd w:id="484"/>
    <w:bookmarkEnd w:id="485"/>
    <w:bookmarkEnd w:id="486"/>
    <w:bookmarkEnd w:id="487"/>
    <w:bookmarkEnd w:id="488"/>
    <w:p w14:paraId="776658E6">
      <w:pPr>
        <w:pageBreakBefore/>
        <w:spacing w:line="360" w:lineRule="auto"/>
        <w:jc w:val="center"/>
        <w:rPr>
          <w:b/>
          <w:color w:val="auto"/>
          <w:sz w:val="32"/>
          <w:szCs w:val="32"/>
          <w:highlight w:val="none"/>
        </w:rPr>
      </w:pPr>
      <w:r>
        <w:rPr>
          <w:rFonts w:hint="eastAsia"/>
          <w:b/>
          <w:color w:val="auto"/>
          <w:sz w:val="32"/>
          <w:szCs w:val="32"/>
          <w:highlight w:val="none"/>
        </w:rPr>
        <w:t>密封袋封条格式</w:t>
      </w:r>
    </w:p>
    <w:p w14:paraId="771F00D9">
      <w:pPr>
        <w:spacing w:line="360" w:lineRule="auto"/>
        <w:jc w:val="center"/>
        <w:rPr>
          <w:rFonts w:ascii="宋体" w:hAnsi="宋体" w:cs="Arial"/>
          <w:b/>
          <w:bCs/>
          <w:color w:val="auto"/>
          <w:sz w:val="28"/>
          <w:szCs w:val="28"/>
          <w:highlight w:val="none"/>
        </w:rPr>
      </w:pPr>
    </w:p>
    <w:p w14:paraId="313F07B0">
      <w:pPr>
        <w:spacing w:line="360" w:lineRule="auto"/>
        <w:jc w:val="center"/>
        <w:rPr>
          <w:rFonts w:ascii="宋体" w:hAnsi="宋体" w:cs="Arial"/>
          <w:b/>
          <w:bCs/>
          <w:color w:val="auto"/>
          <w:sz w:val="28"/>
          <w:szCs w:val="28"/>
          <w:highlight w:val="none"/>
        </w:rPr>
      </w:pPr>
    </w:p>
    <w:p w14:paraId="0FFDCFAD">
      <w:pPr>
        <w:spacing w:line="360" w:lineRule="auto"/>
        <w:jc w:val="center"/>
        <w:rPr>
          <w:rFonts w:ascii="宋体" w:hAnsi="宋体" w:cs="Arial"/>
          <w:b/>
          <w:bCs/>
          <w:color w:val="auto"/>
          <w:sz w:val="28"/>
          <w:szCs w:val="28"/>
          <w:highlight w:val="none"/>
        </w:rPr>
      </w:pPr>
    </w:p>
    <w:p w14:paraId="0C4559CD">
      <w:pPr>
        <w:spacing w:line="360" w:lineRule="auto"/>
        <w:jc w:val="center"/>
        <w:rPr>
          <w:rFonts w:ascii="宋体" w:hAnsi="宋体" w:cs="Arial"/>
          <w:b/>
          <w:bCs/>
          <w:color w:val="auto"/>
          <w:sz w:val="28"/>
          <w:szCs w:val="28"/>
          <w:highlight w:val="none"/>
        </w:rPr>
      </w:pPr>
    </w:p>
    <w:p w14:paraId="5FA3D947">
      <w:pPr>
        <w:pStyle w:val="5"/>
        <w:jc w:val="center"/>
        <w:rPr>
          <w:rFonts w:ascii="宋体" w:hAnsi="宋体" w:cs="Arial"/>
          <w:color w:val="auto"/>
          <w:sz w:val="52"/>
          <w:szCs w:val="52"/>
          <w:highlight w:val="none"/>
        </w:rPr>
      </w:pPr>
      <w:bookmarkStart w:id="489" w:name="_Toc10339"/>
      <w:bookmarkStart w:id="490" w:name="_Toc23985"/>
      <w:bookmarkStart w:id="491" w:name="_Toc26053"/>
      <w:bookmarkStart w:id="492" w:name="_Toc22774"/>
      <w:bookmarkStart w:id="493" w:name="_Toc128564775"/>
      <w:bookmarkStart w:id="494" w:name="_Toc31935"/>
      <w:bookmarkStart w:id="495" w:name="_Toc11440"/>
      <w:bookmarkStart w:id="496" w:name="_Toc90287690"/>
      <w:bookmarkStart w:id="497" w:name="_Toc26114"/>
      <w:bookmarkStart w:id="498" w:name="_Toc10255"/>
      <w:bookmarkStart w:id="499" w:name="_Toc16804"/>
      <w:bookmarkStart w:id="500" w:name="_Toc10763"/>
      <w:r>
        <w:rPr>
          <w:rFonts w:hint="eastAsia" w:ascii="宋体" w:hAnsi="宋体" w:cs="Arial"/>
          <w:color w:val="auto"/>
          <w:sz w:val="52"/>
          <w:szCs w:val="52"/>
          <w:highlight w:val="none"/>
        </w:rPr>
        <w:t>投标文件（正本/副本）</w:t>
      </w:r>
      <w:bookmarkEnd w:id="489"/>
      <w:bookmarkEnd w:id="490"/>
      <w:bookmarkEnd w:id="491"/>
      <w:bookmarkEnd w:id="492"/>
      <w:bookmarkEnd w:id="493"/>
      <w:bookmarkEnd w:id="494"/>
      <w:bookmarkEnd w:id="495"/>
      <w:bookmarkEnd w:id="496"/>
      <w:bookmarkEnd w:id="497"/>
      <w:bookmarkEnd w:id="498"/>
      <w:bookmarkEnd w:id="499"/>
      <w:bookmarkEnd w:id="500"/>
    </w:p>
    <w:p w14:paraId="3BB627CB">
      <w:pPr>
        <w:spacing w:line="360" w:lineRule="auto"/>
        <w:jc w:val="center"/>
        <w:rPr>
          <w:rFonts w:ascii="宋体" w:hAnsi="宋体" w:cs="Arial"/>
          <w:b/>
          <w:bCs/>
          <w:color w:val="auto"/>
          <w:sz w:val="28"/>
          <w:szCs w:val="28"/>
          <w:highlight w:val="none"/>
        </w:rPr>
      </w:pPr>
    </w:p>
    <w:p w14:paraId="1A881C5A">
      <w:pPr>
        <w:spacing w:line="360" w:lineRule="auto"/>
        <w:jc w:val="center"/>
        <w:rPr>
          <w:rFonts w:ascii="宋体" w:hAnsi="宋体" w:cs="Arial"/>
          <w:b/>
          <w:bCs/>
          <w:color w:val="auto"/>
          <w:sz w:val="28"/>
          <w:szCs w:val="28"/>
          <w:highlight w:val="none"/>
        </w:rPr>
      </w:pPr>
    </w:p>
    <w:p w14:paraId="09CA5715">
      <w:pPr>
        <w:spacing w:line="360" w:lineRule="auto"/>
        <w:jc w:val="center"/>
        <w:rPr>
          <w:rFonts w:ascii="宋体" w:hAnsi="宋体" w:cs="Arial"/>
          <w:b/>
          <w:bCs/>
          <w:color w:val="auto"/>
          <w:sz w:val="28"/>
          <w:szCs w:val="28"/>
          <w:highlight w:val="none"/>
        </w:rPr>
      </w:pPr>
    </w:p>
    <w:p w14:paraId="52B4D8A2">
      <w:pPr>
        <w:spacing w:line="360" w:lineRule="auto"/>
        <w:jc w:val="center"/>
        <w:rPr>
          <w:rFonts w:ascii="宋体" w:hAnsi="宋体" w:cs="Arial"/>
          <w:b/>
          <w:bCs/>
          <w:color w:val="auto"/>
          <w:sz w:val="28"/>
          <w:szCs w:val="28"/>
          <w:highlight w:val="none"/>
        </w:rPr>
      </w:pPr>
    </w:p>
    <w:p w14:paraId="033C4BAA">
      <w:pPr>
        <w:spacing w:line="360" w:lineRule="auto"/>
        <w:jc w:val="center"/>
        <w:rPr>
          <w:rFonts w:ascii="宋体" w:hAnsi="宋体" w:cs="Arial"/>
          <w:b/>
          <w:bCs/>
          <w:color w:val="auto"/>
          <w:sz w:val="28"/>
          <w:szCs w:val="28"/>
          <w:highlight w:val="none"/>
        </w:rPr>
      </w:pPr>
    </w:p>
    <w:p w14:paraId="41085BF1">
      <w:pPr>
        <w:spacing w:line="360" w:lineRule="auto"/>
        <w:jc w:val="left"/>
        <w:rPr>
          <w:rFonts w:ascii="宋体" w:hAnsi="宋体" w:cs="Arial"/>
          <w:b/>
          <w:bCs/>
          <w:color w:val="auto"/>
          <w:sz w:val="28"/>
          <w:szCs w:val="28"/>
          <w:highlight w:val="none"/>
        </w:rPr>
      </w:pPr>
      <w:r>
        <w:rPr>
          <w:rFonts w:hint="eastAsia" w:ascii="宋体" w:hAnsi="宋体" w:cs="Arial"/>
          <w:b/>
          <w:bCs/>
          <w:color w:val="auto"/>
          <w:sz w:val="28"/>
          <w:szCs w:val="28"/>
          <w:highlight w:val="none"/>
        </w:rPr>
        <w:t>项目名称：</w:t>
      </w:r>
    </w:p>
    <w:p w14:paraId="624454BA">
      <w:pPr>
        <w:spacing w:line="360" w:lineRule="auto"/>
        <w:jc w:val="left"/>
        <w:rPr>
          <w:rFonts w:ascii="宋体" w:hAnsi="宋体" w:cs="Arial"/>
          <w:b/>
          <w:bCs/>
          <w:color w:val="auto"/>
          <w:sz w:val="28"/>
          <w:szCs w:val="28"/>
          <w:highlight w:val="none"/>
        </w:rPr>
      </w:pPr>
      <w:r>
        <w:rPr>
          <w:rFonts w:hint="eastAsia" w:ascii="宋体" w:hAnsi="宋体" w:cs="Arial"/>
          <w:b/>
          <w:bCs/>
          <w:color w:val="auto"/>
          <w:sz w:val="28"/>
          <w:szCs w:val="28"/>
          <w:highlight w:val="none"/>
        </w:rPr>
        <w:t>项目编号：</w:t>
      </w:r>
    </w:p>
    <w:p w14:paraId="7AD77CAD">
      <w:pPr>
        <w:spacing w:line="360" w:lineRule="auto"/>
        <w:jc w:val="left"/>
        <w:rPr>
          <w:rFonts w:ascii="宋体" w:hAnsi="宋体" w:cs="Arial"/>
          <w:b/>
          <w:bCs/>
          <w:color w:val="auto"/>
          <w:sz w:val="28"/>
          <w:szCs w:val="28"/>
          <w:highlight w:val="none"/>
        </w:rPr>
      </w:pPr>
      <w:r>
        <w:rPr>
          <w:rFonts w:hint="eastAsia" w:ascii="宋体" w:hAnsi="宋体" w:cs="Arial"/>
          <w:b/>
          <w:bCs/>
          <w:color w:val="auto"/>
          <w:sz w:val="28"/>
          <w:szCs w:val="28"/>
          <w:highlight w:val="none"/>
        </w:rPr>
        <w:t>投标单位：</w:t>
      </w:r>
      <w:r>
        <w:rPr>
          <w:rFonts w:hint="eastAsia" w:ascii="宋体" w:hAnsi="宋体" w:cs="Arial"/>
          <w:b/>
          <w:bCs/>
          <w:color w:val="auto"/>
          <w:sz w:val="28"/>
          <w:szCs w:val="28"/>
          <w:highlight w:val="none"/>
          <w:u w:val="single"/>
        </w:rPr>
        <w:t>（加盖公章）</w:t>
      </w:r>
    </w:p>
    <w:p w14:paraId="3F511B35">
      <w:pPr>
        <w:spacing w:line="360" w:lineRule="auto"/>
        <w:jc w:val="left"/>
        <w:rPr>
          <w:rFonts w:ascii="宋体" w:hAnsi="宋体" w:cs="Arial"/>
          <w:b/>
          <w:bCs/>
          <w:color w:val="auto"/>
          <w:sz w:val="28"/>
          <w:szCs w:val="28"/>
          <w:highlight w:val="none"/>
          <w:u w:val="single"/>
        </w:rPr>
      </w:pPr>
      <w:r>
        <w:rPr>
          <w:rFonts w:hint="eastAsia" w:ascii="宋体" w:hAnsi="宋体" w:cs="Arial"/>
          <w:b/>
          <w:bCs/>
          <w:color w:val="auto"/>
          <w:sz w:val="28"/>
          <w:szCs w:val="28"/>
          <w:highlight w:val="none"/>
        </w:rPr>
        <w:t>法定代表人/被授权人：</w:t>
      </w:r>
    </w:p>
    <w:p w14:paraId="2890AFB5">
      <w:pPr>
        <w:spacing w:line="360" w:lineRule="auto"/>
        <w:jc w:val="left"/>
        <w:rPr>
          <w:rFonts w:ascii="宋体" w:hAnsi="宋体" w:cs="Arial"/>
          <w:b/>
          <w:bCs/>
          <w:color w:val="auto"/>
          <w:sz w:val="28"/>
          <w:szCs w:val="28"/>
          <w:highlight w:val="none"/>
        </w:rPr>
      </w:pPr>
      <w:r>
        <w:rPr>
          <w:rFonts w:hint="eastAsia" w:ascii="宋体" w:hAnsi="宋体" w:cs="Arial"/>
          <w:b/>
          <w:bCs/>
          <w:color w:val="auto"/>
          <w:sz w:val="28"/>
          <w:szCs w:val="28"/>
          <w:highlight w:val="none"/>
        </w:rPr>
        <w:t>联系电话：</w:t>
      </w:r>
    </w:p>
    <w:p w14:paraId="72D328D0">
      <w:pPr>
        <w:spacing w:line="360" w:lineRule="auto"/>
        <w:jc w:val="left"/>
        <w:rPr>
          <w:rFonts w:ascii="宋体" w:hAnsi="宋体" w:cs="Arial"/>
          <w:b/>
          <w:bCs/>
          <w:color w:val="auto"/>
          <w:sz w:val="28"/>
          <w:szCs w:val="28"/>
          <w:highlight w:val="none"/>
        </w:rPr>
      </w:pPr>
    </w:p>
    <w:p w14:paraId="78C3788C">
      <w:pPr>
        <w:spacing w:line="360" w:lineRule="auto"/>
        <w:jc w:val="center"/>
        <w:rPr>
          <w:rFonts w:ascii="宋体" w:hAnsi="宋体" w:cs="Arial"/>
          <w:b/>
          <w:bCs/>
          <w:color w:val="auto"/>
          <w:sz w:val="28"/>
          <w:szCs w:val="28"/>
          <w:highlight w:val="none"/>
        </w:rPr>
      </w:pPr>
      <w:r>
        <w:rPr>
          <w:rFonts w:hint="eastAsia" w:ascii="宋体" w:hAnsi="宋体" w:cs="Arial"/>
          <w:b/>
          <w:bCs/>
          <w:color w:val="auto"/>
          <w:sz w:val="28"/>
          <w:szCs w:val="28"/>
          <w:highlight w:val="none"/>
        </w:rPr>
        <w:t>【</w:t>
      </w:r>
      <w:r>
        <w:rPr>
          <w:rFonts w:hint="eastAsia" w:ascii="宋体" w:hAnsi="宋体" w:cs="Arial"/>
          <w:b/>
          <w:bCs/>
          <w:color w:val="auto"/>
          <w:sz w:val="28"/>
          <w:szCs w:val="28"/>
          <w:highlight w:val="none"/>
          <w:u w:val="single"/>
        </w:rPr>
        <w:t xml:space="preserve"> </w:t>
      </w:r>
      <w:r>
        <w:rPr>
          <w:rFonts w:ascii="宋体" w:hAnsi="宋体" w:cs="Arial"/>
          <w:b/>
          <w:bCs/>
          <w:color w:val="auto"/>
          <w:sz w:val="28"/>
          <w:szCs w:val="28"/>
          <w:highlight w:val="none"/>
          <w:u w:val="single"/>
        </w:rPr>
        <w:t xml:space="preserve">   </w:t>
      </w:r>
      <w:r>
        <w:rPr>
          <w:rFonts w:hint="eastAsia" w:ascii="宋体" w:hAnsi="宋体" w:cs="Arial"/>
          <w:b/>
          <w:bCs/>
          <w:color w:val="auto"/>
          <w:sz w:val="28"/>
          <w:szCs w:val="28"/>
          <w:highlight w:val="none"/>
          <w:u w:val="single"/>
        </w:rPr>
        <w:t xml:space="preserve">年 </w:t>
      </w:r>
      <w:r>
        <w:rPr>
          <w:rFonts w:ascii="宋体" w:hAnsi="宋体" w:cs="Arial"/>
          <w:b/>
          <w:bCs/>
          <w:color w:val="auto"/>
          <w:sz w:val="28"/>
          <w:szCs w:val="28"/>
          <w:highlight w:val="none"/>
          <w:u w:val="single"/>
        </w:rPr>
        <w:t xml:space="preserve"> </w:t>
      </w:r>
      <w:r>
        <w:rPr>
          <w:rFonts w:hint="eastAsia" w:ascii="宋体" w:hAnsi="宋体" w:cs="Arial"/>
          <w:b/>
          <w:bCs/>
          <w:color w:val="auto"/>
          <w:sz w:val="28"/>
          <w:szCs w:val="28"/>
          <w:highlight w:val="none"/>
          <w:u w:val="single"/>
        </w:rPr>
        <w:t xml:space="preserve">月 </w:t>
      </w:r>
      <w:r>
        <w:rPr>
          <w:rFonts w:ascii="宋体" w:hAnsi="宋体" w:cs="Arial"/>
          <w:b/>
          <w:bCs/>
          <w:color w:val="auto"/>
          <w:sz w:val="28"/>
          <w:szCs w:val="28"/>
          <w:highlight w:val="none"/>
          <w:u w:val="single"/>
        </w:rPr>
        <w:t xml:space="preserve"> </w:t>
      </w:r>
      <w:r>
        <w:rPr>
          <w:rFonts w:hint="eastAsia" w:ascii="宋体" w:hAnsi="宋体" w:cs="Arial"/>
          <w:b/>
          <w:bCs/>
          <w:color w:val="auto"/>
          <w:sz w:val="28"/>
          <w:szCs w:val="28"/>
          <w:highlight w:val="none"/>
          <w:u w:val="single"/>
        </w:rPr>
        <w:t xml:space="preserve">日 </w:t>
      </w:r>
      <w:r>
        <w:rPr>
          <w:rFonts w:ascii="宋体" w:hAnsi="宋体" w:cs="Arial"/>
          <w:b/>
          <w:bCs/>
          <w:color w:val="auto"/>
          <w:sz w:val="28"/>
          <w:szCs w:val="28"/>
          <w:highlight w:val="none"/>
          <w:u w:val="single"/>
        </w:rPr>
        <w:t xml:space="preserve"> </w:t>
      </w:r>
      <w:r>
        <w:rPr>
          <w:rFonts w:hint="eastAsia" w:ascii="宋体" w:hAnsi="宋体" w:cs="Arial"/>
          <w:b/>
          <w:bCs/>
          <w:color w:val="auto"/>
          <w:sz w:val="28"/>
          <w:szCs w:val="28"/>
          <w:highlight w:val="none"/>
          <w:u w:val="single"/>
        </w:rPr>
        <w:t xml:space="preserve">时 </w:t>
      </w:r>
      <w:r>
        <w:rPr>
          <w:rFonts w:ascii="宋体" w:hAnsi="宋体" w:cs="Arial"/>
          <w:b/>
          <w:bCs/>
          <w:color w:val="auto"/>
          <w:sz w:val="28"/>
          <w:szCs w:val="28"/>
          <w:highlight w:val="none"/>
          <w:u w:val="single"/>
        </w:rPr>
        <w:t xml:space="preserve"> </w:t>
      </w:r>
      <w:r>
        <w:rPr>
          <w:rFonts w:hint="eastAsia" w:ascii="宋体" w:hAnsi="宋体" w:cs="Arial"/>
          <w:b/>
          <w:bCs/>
          <w:color w:val="auto"/>
          <w:sz w:val="28"/>
          <w:szCs w:val="28"/>
          <w:highlight w:val="none"/>
          <w:u w:val="single"/>
        </w:rPr>
        <w:t>分</w:t>
      </w:r>
      <w:r>
        <w:rPr>
          <w:rFonts w:hint="eastAsia" w:ascii="宋体" w:hAnsi="宋体" w:cs="Arial"/>
          <w:b/>
          <w:bCs/>
          <w:color w:val="auto"/>
          <w:sz w:val="28"/>
          <w:szCs w:val="28"/>
          <w:highlight w:val="none"/>
        </w:rPr>
        <w:t>之前不得启封。】</w:t>
      </w:r>
    </w:p>
    <w:p w14:paraId="52B77D2A">
      <w:pPr>
        <w:spacing w:line="360" w:lineRule="auto"/>
        <w:rPr>
          <w:rFonts w:ascii="宋体" w:hAnsi="宋体" w:cs="Arial"/>
          <w:bCs/>
          <w:color w:val="auto"/>
          <w:sz w:val="28"/>
          <w:szCs w:val="28"/>
          <w:highlight w:val="none"/>
        </w:rPr>
      </w:pPr>
    </w:p>
    <w:p w14:paraId="1C228CC5">
      <w:pPr>
        <w:spacing w:line="360" w:lineRule="auto"/>
        <w:rPr>
          <w:rFonts w:ascii="宋体" w:hAnsi="宋体" w:cs="Arial"/>
          <w:bCs/>
          <w:color w:val="auto"/>
          <w:sz w:val="28"/>
          <w:szCs w:val="28"/>
          <w:highlight w:val="none"/>
        </w:rPr>
      </w:pPr>
      <w:r>
        <w:rPr>
          <w:rFonts w:hint="eastAsia" w:ascii="宋体" w:hAnsi="宋体" w:cs="Arial"/>
          <w:bCs/>
          <w:color w:val="auto"/>
          <w:sz w:val="28"/>
          <w:szCs w:val="28"/>
          <w:highlight w:val="none"/>
        </w:rPr>
        <w:t>备注：本封条应粘贴在投标文件（正本/副本）的密封袋封面。</w:t>
      </w:r>
    </w:p>
    <w:p w14:paraId="235A1D42">
      <w:pPr>
        <w:rPr>
          <w:rFonts w:ascii="宋体" w:hAnsi="宋体"/>
          <w:snapToGrid w:val="0"/>
          <w:color w:val="auto"/>
          <w:kern w:val="0"/>
          <w:highlight w:val="none"/>
        </w:rPr>
      </w:pPr>
    </w:p>
    <w:p w14:paraId="7B4DCCF0">
      <w:pPr>
        <w:pStyle w:val="6"/>
        <w:pageBreakBefore/>
        <w:spacing w:line="377" w:lineRule="auto"/>
        <w:jc w:val="center"/>
        <w:rPr>
          <w:rFonts w:ascii="宋体" w:hAnsi="宋体" w:eastAsia="宋体"/>
          <w:b w:val="0"/>
          <w:color w:val="auto"/>
          <w:sz w:val="36"/>
          <w:szCs w:val="36"/>
          <w:highlight w:val="none"/>
        </w:rPr>
      </w:pPr>
      <w:r>
        <w:rPr>
          <w:rFonts w:hint="eastAsia" w:ascii="宋体" w:hAnsi="宋体" w:eastAsia="宋体"/>
          <w:b w:val="0"/>
          <w:color w:val="auto"/>
          <w:sz w:val="36"/>
          <w:szCs w:val="36"/>
          <w:highlight w:val="none"/>
        </w:rPr>
        <w:t>目 录</w:t>
      </w:r>
    </w:p>
    <w:p w14:paraId="6C6E7A90">
      <w:pPr>
        <w:spacing w:line="360" w:lineRule="auto"/>
        <w:rPr>
          <w:rFonts w:ascii="仿宋" w:hAnsi="仿宋" w:eastAsia="仿宋" w:cs="仿宋"/>
          <w:bCs/>
          <w:snapToGrid w:val="0"/>
          <w:color w:val="auto"/>
          <w:kern w:val="0"/>
          <w:sz w:val="28"/>
          <w:highlight w:val="none"/>
        </w:rPr>
      </w:pPr>
      <w:r>
        <w:rPr>
          <w:rFonts w:hint="eastAsia" w:ascii="仿宋" w:hAnsi="仿宋" w:eastAsia="仿宋" w:cs="仿宋"/>
          <w:bCs/>
          <w:snapToGrid w:val="0"/>
          <w:color w:val="auto"/>
          <w:kern w:val="0"/>
          <w:sz w:val="28"/>
          <w:highlight w:val="none"/>
        </w:rPr>
        <w:t>一、评标指引表</w:t>
      </w:r>
    </w:p>
    <w:p w14:paraId="41CBECB2">
      <w:pPr>
        <w:spacing w:line="360" w:lineRule="auto"/>
        <w:rPr>
          <w:rFonts w:hint="eastAsia" w:ascii="仿宋" w:hAnsi="仿宋" w:eastAsia="仿宋" w:cs="仿宋"/>
          <w:bCs/>
          <w:snapToGrid w:val="0"/>
          <w:color w:val="auto"/>
          <w:kern w:val="0"/>
          <w:sz w:val="28"/>
          <w:highlight w:val="none"/>
          <w:lang w:eastAsia="zh-CN"/>
        </w:rPr>
      </w:pPr>
      <w:r>
        <w:rPr>
          <w:rFonts w:hint="eastAsia" w:ascii="仿宋" w:hAnsi="仿宋" w:eastAsia="仿宋" w:cs="仿宋"/>
          <w:bCs/>
          <w:snapToGrid w:val="0"/>
          <w:color w:val="auto"/>
          <w:kern w:val="0"/>
          <w:sz w:val="28"/>
          <w:highlight w:val="none"/>
        </w:rPr>
        <w:t>二、</w:t>
      </w:r>
      <w:r>
        <w:rPr>
          <w:rFonts w:hint="eastAsia" w:ascii="仿宋" w:hAnsi="仿宋" w:eastAsia="仿宋" w:cs="仿宋"/>
          <w:bCs/>
          <w:snapToGrid w:val="0"/>
          <w:color w:val="auto"/>
          <w:kern w:val="0"/>
          <w:sz w:val="28"/>
          <w:highlight w:val="none"/>
          <w:lang w:eastAsia="zh-CN"/>
        </w:rPr>
        <w:t>报价一览表</w:t>
      </w:r>
    </w:p>
    <w:p w14:paraId="533DA3E1">
      <w:pPr>
        <w:spacing w:line="360" w:lineRule="auto"/>
        <w:rPr>
          <w:rFonts w:hint="eastAsia" w:ascii="仿宋" w:hAnsi="仿宋" w:eastAsia="仿宋" w:cs="仿宋"/>
          <w:bCs/>
          <w:snapToGrid w:val="0"/>
          <w:color w:val="000000" w:themeColor="text1"/>
          <w:kern w:val="0"/>
          <w:sz w:val="28"/>
          <w:highlight w:val="none"/>
          <w14:textFill>
            <w14:solidFill>
              <w14:schemeClr w14:val="tx1"/>
            </w14:solidFill>
          </w14:textFill>
        </w:rPr>
      </w:pPr>
      <w:r>
        <w:rPr>
          <w:rFonts w:hint="eastAsia" w:ascii="仿宋" w:hAnsi="仿宋" w:eastAsia="仿宋" w:cs="仿宋"/>
          <w:bCs/>
          <w:snapToGrid w:val="0"/>
          <w:color w:val="000000" w:themeColor="text1"/>
          <w:kern w:val="0"/>
          <w:sz w:val="28"/>
          <w:highlight w:val="none"/>
          <w14:textFill>
            <w14:solidFill>
              <w14:schemeClr w14:val="tx1"/>
            </w14:solidFill>
          </w14:textFill>
        </w:rPr>
        <w:t>三、投标函及承诺函</w:t>
      </w:r>
    </w:p>
    <w:p w14:paraId="690760B6">
      <w:pPr>
        <w:spacing w:line="360" w:lineRule="auto"/>
        <w:rPr>
          <w:rFonts w:hint="eastAsia" w:ascii="仿宋" w:hAnsi="仿宋" w:eastAsia="仿宋" w:cs="仿宋"/>
          <w:bCs/>
          <w:snapToGrid w:val="0"/>
          <w:color w:val="000000" w:themeColor="text1"/>
          <w:kern w:val="0"/>
          <w:sz w:val="28"/>
          <w:highlight w:val="none"/>
          <w14:textFill>
            <w14:solidFill>
              <w14:schemeClr w14:val="tx1"/>
            </w14:solidFill>
          </w14:textFill>
        </w:rPr>
      </w:pPr>
      <w:r>
        <w:rPr>
          <w:rFonts w:hint="eastAsia" w:ascii="仿宋" w:hAnsi="仿宋" w:eastAsia="仿宋" w:cs="仿宋"/>
          <w:b w:val="0"/>
          <w:bCs/>
          <w:snapToGrid w:val="0"/>
          <w:color w:val="000000" w:themeColor="text1"/>
          <w:kern w:val="0"/>
          <w:sz w:val="28"/>
          <w:szCs w:val="24"/>
          <w:highlight w:val="none"/>
          <w14:textFill>
            <w14:solidFill>
              <w14:schemeClr w14:val="tx1"/>
            </w14:solidFill>
          </w14:textFill>
        </w:rPr>
        <w:t>四、投标保证金交纳情况说明</w:t>
      </w:r>
    </w:p>
    <w:p w14:paraId="4916D1E9">
      <w:pPr>
        <w:spacing w:line="360" w:lineRule="auto"/>
        <w:rPr>
          <w:rFonts w:ascii="仿宋" w:hAnsi="仿宋" w:eastAsia="仿宋" w:cs="仿宋"/>
          <w:bCs/>
          <w:snapToGrid w:val="0"/>
          <w:color w:val="000000" w:themeColor="text1"/>
          <w:kern w:val="0"/>
          <w:sz w:val="28"/>
          <w:highlight w:val="none"/>
          <w14:textFill>
            <w14:solidFill>
              <w14:schemeClr w14:val="tx1"/>
            </w14:solidFill>
          </w14:textFill>
        </w:rPr>
      </w:pPr>
      <w:r>
        <w:rPr>
          <w:rFonts w:hint="eastAsia" w:ascii="仿宋" w:hAnsi="仿宋" w:eastAsia="仿宋" w:cs="仿宋"/>
          <w:bCs/>
          <w:snapToGrid w:val="0"/>
          <w:color w:val="000000" w:themeColor="text1"/>
          <w:kern w:val="0"/>
          <w:sz w:val="28"/>
          <w:highlight w:val="none"/>
          <w:lang w:val="en-US" w:eastAsia="zh-CN"/>
          <w14:textFill>
            <w14:solidFill>
              <w14:schemeClr w14:val="tx1"/>
            </w14:solidFill>
          </w14:textFill>
        </w:rPr>
        <w:t>五</w:t>
      </w:r>
      <w:r>
        <w:rPr>
          <w:rFonts w:hint="eastAsia" w:ascii="仿宋" w:hAnsi="仿宋" w:eastAsia="仿宋" w:cs="仿宋"/>
          <w:bCs/>
          <w:snapToGrid w:val="0"/>
          <w:color w:val="000000" w:themeColor="text1"/>
          <w:kern w:val="0"/>
          <w:sz w:val="28"/>
          <w:highlight w:val="none"/>
          <w14:textFill>
            <w14:solidFill>
              <w14:schemeClr w14:val="tx1"/>
            </w14:solidFill>
          </w14:textFill>
        </w:rPr>
        <w:t>、法定代表人资格证明书</w:t>
      </w:r>
    </w:p>
    <w:p w14:paraId="616FDFF5">
      <w:pPr>
        <w:spacing w:line="360" w:lineRule="auto"/>
        <w:rPr>
          <w:rFonts w:ascii="仿宋" w:hAnsi="仿宋" w:eastAsia="仿宋" w:cs="仿宋"/>
          <w:bCs/>
          <w:snapToGrid w:val="0"/>
          <w:color w:val="000000" w:themeColor="text1"/>
          <w:kern w:val="0"/>
          <w:sz w:val="28"/>
          <w:highlight w:val="none"/>
          <w14:textFill>
            <w14:solidFill>
              <w14:schemeClr w14:val="tx1"/>
            </w14:solidFill>
          </w14:textFill>
        </w:rPr>
      </w:pPr>
      <w:r>
        <w:rPr>
          <w:rFonts w:hint="eastAsia" w:ascii="仿宋" w:hAnsi="仿宋" w:eastAsia="仿宋" w:cs="仿宋"/>
          <w:bCs/>
          <w:snapToGrid w:val="0"/>
          <w:color w:val="000000" w:themeColor="text1"/>
          <w:kern w:val="0"/>
          <w:sz w:val="28"/>
          <w:highlight w:val="none"/>
          <w:lang w:val="en-US" w:eastAsia="zh-CN"/>
          <w14:textFill>
            <w14:solidFill>
              <w14:schemeClr w14:val="tx1"/>
            </w14:solidFill>
          </w14:textFill>
        </w:rPr>
        <w:t>六</w:t>
      </w:r>
      <w:r>
        <w:rPr>
          <w:rFonts w:hint="eastAsia" w:ascii="仿宋" w:hAnsi="仿宋" w:eastAsia="仿宋" w:cs="仿宋"/>
          <w:bCs/>
          <w:snapToGrid w:val="0"/>
          <w:color w:val="000000" w:themeColor="text1"/>
          <w:kern w:val="0"/>
          <w:sz w:val="28"/>
          <w:highlight w:val="none"/>
          <w14:textFill>
            <w14:solidFill>
              <w14:schemeClr w14:val="tx1"/>
            </w14:solidFill>
          </w14:textFill>
        </w:rPr>
        <w:t>、法定代表人授权书</w:t>
      </w:r>
    </w:p>
    <w:p w14:paraId="31D61140">
      <w:pPr>
        <w:spacing w:line="360" w:lineRule="auto"/>
        <w:rPr>
          <w:rFonts w:ascii="仿宋" w:hAnsi="仿宋" w:eastAsia="仿宋" w:cs="仿宋"/>
          <w:bCs/>
          <w:snapToGrid w:val="0"/>
          <w:color w:val="000000" w:themeColor="text1"/>
          <w:kern w:val="0"/>
          <w:sz w:val="28"/>
          <w:highlight w:val="none"/>
          <w14:textFill>
            <w14:solidFill>
              <w14:schemeClr w14:val="tx1"/>
            </w14:solidFill>
          </w14:textFill>
        </w:rPr>
      </w:pPr>
      <w:r>
        <w:rPr>
          <w:rFonts w:hint="eastAsia" w:ascii="仿宋" w:hAnsi="仿宋" w:eastAsia="仿宋" w:cs="仿宋"/>
          <w:bCs/>
          <w:snapToGrid w:val="0"/>
          <w:color w:val="000000" w:themeColor="text1"/>
          <w:kern w:val="0"/>
          <w:sz w:val="28"/>
          <w:highlight w:val="none"/>
          <w14:textFill>
            <w14:solidFill>
              <w14:schemeClr w14:val="tx1"/>
            </w14:solidFill>
          </w14:textFill>
        </w:rPr>
        <w:t>七、</w:t>
      </w:r>
      <w:r>
        <w:rPr>
          <w:rFonts w:hint="eastAsia" w:ascii="仿宋" w:hAnsi="仿宋" w:eastAsia="仿宋" w:cs="仿宋"/>
          <w:bCs/>
          <w:snapToGrid w:val="0"/>
          <w:color w:val="000000" w:themeColor="text1"/>
          <w:kern w:val="0"/>
          <w:sz w:val="28"/>
          <w:highlight w:val="none"/>
          <w:lang w:eastAsia="zh-CN"/>
          <w14:textFill>
            <w14:solidFill>
              <w14:schemeClr w14:val="tx1"/>
            </w14:solidFill>
          </w14:textFill>
        </w:rPr>
        <w:t>投标人</w:t>
      </w:r>
      <w:r>
        <w:rPr>
          <w:rFonts w:hint="eastAsia" w:ascii="仿宋" w:hAnsi="仿宋" w:eastAsia="仿宋" w:cs="仿宋"/>
          <w:bCs/>
          <w:snapToGrid w:val="0"/>
          <w:color w:val="000000" w:themeColor="text1"/>
          <w:kern w:val="0"/>
          <w:sz w:val="28"/>
          <w:highlight w:val="none"/>
          <w14:textFill>
            <w14:solidFill>
              <w14:schemeClr w14:val="tx1"/>
            </w14:solidFill>
          </w14:textFill>
        </w:rPr>
        <w:t>情况介绍</w:t>
      </w:r>
    </w:p>
    <w:p w14:paraId="6724D6EF">
      <w:pPr>
        <w:spacing w:line="360" w:lineRule="auto"/>
        <w:rPr>
          <w:rFonts w:ascii="仿宋" w:hAnsi="仿宋" w:eastAsia="仿宋" w:cs="仿宋"/>
          <w:bCs/>
          <w:snapToGrid w:val="0"/>
          <w:color w:val="000000" w:themeColor="text1"/>
          <w:kern w:val="0"/>
          <w:sz w:val="28"/>
          <w:highlight w:val="none"/>
          <w14:textFill>
            <w14:solidFill>
              <w14:schemeClr w14:val="tx1"/>
            </w14:solidFill>
          </w14:textFill>
        </w:rPr>
      </w:pPr>
      <w:r>
        <w:rPr>
          <w:rFonts w:hint="eastAsia" w:ascii="仿宋" w:hAnsi="仿宋" w:eastAsia="仿宋" w:cs="仿宋"/>
          <w:bCs/>
          <w:snapToGrid w:val="0"/>
          <w:color w:val="000000" w:themeColor="text1"/>
          <w:kern w:val="0"/>
          <w:sz w:val="28"/>
          <w:highlight w:val="none"/>
          <w14:textFill>
            <w14:solidFill>
              <w14:schemeClr w14:val="tx1"/>
            </w14:solidFill>
          </w14:textFill>
        </w:rPr>
        <w:t>八、服务条款偏离表</w:t>
      </w:r>
    </w:p>
    <w:p w14:paraId="46F03990">
      <w:pPr>
        <w:spacing w:line="360" w:lineRule="auto"/>
        <w:rPr>
          <w:rFonts w:hint="eastAsia" w:ascii="仿宋" w:hAnsi="仿宋" w:eastAsia="仿宋" w:cs="仿宋"/>
          <w:bCs/>
          <w:snapToGrid w:val="0"/>
          <w:color w:val="000000" w:themeColor="text1"/>
          <w:kern w:val="0"/>
          <w:sz w:val="28"/>
          <w:highlight w:val="none"/>
          <w14:textFill>
            <w14:solidFill>
              <w14:schemeClr w14:val="tx1"/>
            </w14:solidFill>
          </w14:textFill>
        </w:rPr>
      </w:pPr>
      <w:r>
        <w:rPr>
          <w:rFonts w:hint="eastAsia" w:ascii="仿宋" w:hAnsi="仿宋" w:eastAsia="仿宋" w:cs="仿宋"/>
          <w:bCs/>
          <w:snapToGrid w:val="0"/>
          <w:color w:val="000000" w:themeColor="text1"/>
          <w:kern w:val="0"/>
          <w:sz w:val="28"/>
          <w:highlight w:val="none"/>
          <w14:textFill>
            <w14:solidFill>
              <w14:schemeClr w14:val="tx1"/>
            </w14:solidFill>
          </w14:textFill>
        </w:rPr>
        <w:t>九、商务条款偏离表</w:t>
      </w:r>
    </w:p>
    <w:p w14:paraId="20D451F1">
      <w:pPr>
        <w:adjustRightInd/>
        <w:snapToGrid/>
        <w:spacing w:line="360" w:lineRule="auto"/>
        <w:jc w:val="left"/>
        <w:rPr>
          <w:rFonts w:hint="eastAsia" w:ascii="仿宋" w:hAnsi="仿宋" w:eastAsia="仿宋" w:cs="仿宋"/>
          <w:b w:val="0"/>
          <w:bCs/>
          <w:snapToGrid w:val="0"/>
          <w:color w:val="auto"/>
          <w:kern w:val="0"/>
          <w:sz w:val="28"/>
          <w:szCs w:val="24"/>
          <w:highlight w:val="none"/>
        </w:rPr>
      </w:pPr>
      <w:r>
        <w:rPr>
          <w:rFonts w:hint="eastAsia" w:ascii="仿宋" w:hAnsi="仿宋" w:eastAsia="仿宋" w:cs="仿宋"/>
          <w:b w:val="0"/>
          <w:bCs/>
          <w:snapToGrid w:val="0"/>
          <w:color w:val="auto"/>
          <w:kern w:val="0"/>
          <w:sz w:val="28"/>
          <w:szCs w:val="24"/>
          <w:highlight w:val="none"/>
        </w:rPr>
        <w:t>十、</w:t>
      </w:r>
      <w:r>
        <w:rPr>
          <w:rFonts w:hint="eastAsia" w:ascii="仿宋" w:hAnsi="仿宋" w:eastAsia="仿宋" w:cs="仿宋"/>
          <w:bCs/>
          <w:snapToGrid w:val="0"/>
          <w:color w:val="auto"/>
          <w:kern w:val="0"/>
          <w:sz w:val="28"/>
          <w:highlight w:val="none"/>
          <w:lang w:val="zh-CN"/>
        </w:rPr>
        <w:t>施工方案（</w:t>
      </w:r>
      <w:r>
        <w:rPr>
          <w:rFonts w:hint="eastAsia" w:ascii="仿宋" w:hAnsi="仿宋" w:eastAsia="仿宋" w:cs="仿宋"/>
          <w:bCs/>
          <w:snapToGrid w:val="0"/>
          <w:color w:val="auto"/>
          <w:kern w:val="0"/>
          <w:sz w:val="28"/>
          <w:highlight w:val="none"/>
          <w:lang w:val="en-US" w:eastAsia="zh-CN"/>
        </w:rPr>
        <w:t>格式自拟</w:t>
      </w:r>
      <w:r>
        <w:rPr>
          <w:rFonts w:hint="eastAsia" w:ascii="仿宋" w:hAnsi="仿宋" w:eastAsia="仿宋" w:cs="仿宋"/>
          <w:bCs/>
          <w:snapToGrid w:val="0"/>
          <w:color w:val="auto"/>
          <w:kern w:val="0"/>
          <w:sz w:val="28"/>
          <w:highlight w:val="none"/>
          <w:lang w:val="zh-CN"/>
        </w:rPr>
        <w:t>）</w:t>
      </w:r>
    </w:p>
    <w:p w14:paraId="0C65F164">
      <w:pPr>
        <w:spacing w:line="360" w:lineRule="auto"/>
        <w:jc w:val="left"/>
        <w:rPr>
          <w:rFonts w:hint="eastAsia" w:ascii="仿宋" w:hAnsi="仿宋" w:eastAsia="仿宋" w:cs="仿宋"/>
          <w:bCs/>
          <w:snapToGrid w:val="0"/>
          <w:color w:val="auto"/>
          <w:kern w:val="0"/>
          <w:sz w:val="28"/>
          <w:highlight w:val="none"/>
          <w:lang w:val="en-US" w:eastAsia="zh-CN"/>
        </w:rPr>
      </w:pPr>
      <w:r>
        <w:rPr>
          <w:rFonts w:hint="eastAsia" w:ascii="仿宋" w:hAnsi="仿宋" w:eastAsia="仿宋" w:cs="仿宋"/>
          <w:bCs/>
          <w:snapToGrid w:val="0"/>
          <w:color w:val="auto"/>
          <w:kern w:val="0"/>
          <w:sz w:val="28"/>
          <w:highlight w:val="none"/>
          <w:lang w:val="en-US" w:eastAsia="zh-CN"/>
        </w:rPr>
        <w:t>十一、</w:t>
      </w:r>
      <w:r>
        <w:rPr>
          <w:rFonts w:hint="eastAsia" w:ascii="仿宋" w:hAnsi="仿宋" w:eastAsia="仿宋" w:cs="仿宋"/>
          <w:bCs/>
          <w:snapToGrid w:val="0"/>
          <w:color w:val="auto"/>
          <w:kern w:val="0"/>
          <w:sz w:val="28"/>
          <w:highlight w:val="none"/>
          <w:lang w:val="zh-CN"/>
        </w:rPr>
        <w:t>机械设备</w:t>
      </w:r>
    </w:p>
    <w:p w14:paraId="2E5E9BD4">
      <w:pPr>
        <w:spacing w:line="360" w:lineRule="auto"/>
        <w:jc w:val="left"/>
        <w:rPr>
          <w:rFonts w:hint="eastAsia" w:ascii="仿宋" w:hAnsi="仿宋" w:eastAsia="仿宋" w:cs="仿宋"/>
          <w:bCs/>
          <w:snapToGrid w:val="0"/>
          <w:color w:val="auto"/>
          <w:kern w:val="0"/>
          <w:sz w:val="28"/>
          <w:highlight w:val="none"/>
        </w:rPr>
      </w:pPr>
      <w:r>
        <w:rPr>
          <w:rFonts w:hint="eastAsia" w:ascii="仿宋" w:hAnsi="仿宋" w:eastAsia="仿宋" w:cs="仿宋"/>
          <w:bCs/>
          <w:snapToGrid w:val="0"/>
          <w:color w:val="auto"/>
          <w:kern w:val="0"/>
          <w:sz w:val="28"/>
          <w:highlight w:val="none"/>
          <w:lang w:val="zh-CN"/>
        </w:rPr>
        <w:t>十</w:t>
      </w:r>
      <w:r>
        <w:rPr>
          <w:rFonts w:hint="eastAsia" w:ascii="仿宋" w:hAnsi="仿宋" w:eastAsia="仿宋" w:cs="仿宋"/>
          <w:bCs/>
          <w:snapToGrid w:val="0"/>
          <w:color w:val="auto"/>
          <w:kern w:val="0"/>
          <w:sz w:val="28"/>
          <w:highlight w:val="none"/>
          <w:lang w:val="en-US" w:eastAsia="zh-CN"/>
        </w:rPr>
        <w:t>二</w:t>
      </w:r>
      <w:r>
        <w:rPr>
          <w:rFonts w:hint="eastAsia" w:ascii="仿宋" w:hAnsi="仿宋" w:eastAsia="仿宋" w:cs="仿宋"/>
          <w:bCs/>
          <w:snapToGrid w:val="0"/>
          <w:color w:val="auto"/>
          <w:kern w:val="0"/>
          <w:sz w:val="28"/>
          <w:highlight w:val="none"/>
          <w:lang w:val="zh-CN" w:eastAsia="zh-CN"/>
        </w:rPr>
        <w:t>、</w:t>
      </w:r>
      <w:r>
        <w:rPr>
          <w:rFonts w:hint="eastAsia" w:ascii="仿宋" w:hAnsi="仿宋" w:eastAsia="仿宋" w:cs="仿宋"/>
          <w:bCs/>
          <w:snapToGrid w:val="0"/>
          <w:color w:val="auto"/>
          <w:kern w:val="0"/>
          <w:sz w:val="28"/>
          <w:szCs w:val="24"/>
          <w:highlight w:val="none"/>
          <w:lang w:val="fr-CH"/>
        </w:rPr>
        <w:t>拟投入</w:t>
      </w:r>
      <w:r>
        <w:rPr>
          <w:rFonts w:hint="eastAsia" w:ascii="仿宋" w:hAnsi="仿宋" w:eastAsia="仿宋" w:cs="仿宋"/>
          <w:bCs/>
          <w:snapToGrid w:val="0"/>
          <w:color w:val="auto"/>
          <w:kern w:val="0"/>
          <w:sz w:val="28"/>
          <w:szCs w:val="24"/>
          <w:highlight w:val="none"/>
        </w:rPr>
        <w:t>人员</w:t>
      </w:r>
    </w:p>
    <w:p w14:paraId="0CFE527C">
      <w:pPr>
        <w:spacing w:line="360" w:lineRule="auto"/>
        <w:jc w:val="left"/>
        <w:rPr>
          <w:rFonts w:hint="eastAsia" w:ascii="仿宋" w:hAnsi="仿宋" w:eastAsia="仿宋" w:cs="仿宋"/>
          <w:bCs/>
          <w:snapToGrid w:val="0"/>
          <w:color w:val="auto"/>
          <w:kern w:val="0"/>
          <w:sz w:val="28"/>
          <w:highlight w:val="none"/>
        </w:rPr>
      </w:pPr>
      <w:r>
        <w:rPr>
          <w:rFonts w:hint="eastAsia" w:ascii="仿宋" w:hAnsi="仿宋" w:eastAsia="仿宋" w:cs="仿宋"/>
          <w:bCs/>
          <w:snapToGrid w:val="0"/>
          <w:color w:val="auto"/>
          <w:kern w:val="0"/>
          <w:sz w:val="28"/>
          <w:highlight w:val="none"/>
        </w:rPr>
        <w:t>十</w:t>
      </w:r>
      <w:r>
        <w:rPr>
          <w:rFonts w:hint="eastAsia" w:ascii="仿宋" w:hAnsi="仿宋" w:eastAsia="仿宋" w:cs="仿宋"/>
          <w:bCs/>
          <w:snapToGrid w:val="0"/>
          <w:color w:val="auto"/>
          <w:kern w:val="0"/>
          <w:sz w:val="28"/>
          <w:highlight w:val="none"/>
          <w:lang w:val="en-US" w:eastAsia="zh-CN"/>
        </w:rPr>
        <w:t>三、</w:t>
      </w:r>
      <w:r>
        <w:rPr>
          <w:rFonts w:hint="eastAsia" w:ascii="仿宋" w:hAnsi="仿宋" w:eastAsia="仿宋" w:cs="仿宋"/>
          <w:bCs/>
          <w:snapToGrid w:val="0"/>
          <w:color w:val="auto"/>
          <w:kern w:val="0"/>
          <w:sz w:val="28"/>
          <w:highlight w:val="none"/>
        </w:rPr>
        <w:t>基地或仓库</w:t>
      </w:r>
    </w:p>
    <w:p w14:paraId="692F1A64">
      <w:pPr>
        <w:spacing w:line="360" w:lineRule="auto"/>
        <w:jc w:val="left"/>
        <w:rPr>
          <w:rFonts w:hint="eastAsia" w:ascii="仿宋" w:hAnsi="仿宋" w:eastAsia="仿宋" w:cs="仿宋"/>
          <w:bCs/>
          <w:snapToGrid w:val="0"/>
          <w:color w:val="auto"/>
          <w:kern w:val="0"/>
          <w:sz w:val="28"/>
          <w:highlight w:val="none"/>
        </w:rPr>
      </w:pPr>
      <w:r>
        <w:rPr>
          <w:rFonts w:hint="eastAsia" w:ascii="仿宋" w:hAnsi="仿宋" w:eastAsia="仿宋" w:cs="仿宋"/>
          <w:bCs/>
          <w:snapToGrid w:val="0"/>
          <w:color w:val="auto"/>
          <w:kern w:val="0"/>
          <w:sz w:val="28"/>
          <w:highlight w:val="none"/>
          <w:lang w:val="en-US" w:eastAsia="zh-CN"/>
        </w:rPr>
        <w:t>十四、</w:t>
      </w:r>
      <w:r>
        <w:rPr>
          <w:rFonts w:hint="eastAsia" w:ascii="仿宋" w:hAnsi="仿宋" w:eastAsia="仿宋" w:cs="仿宋"/>
          <w:bCs/>
          <w:snapToGrid w:val="0"/>
          <w:color w:val="auto"/>
          <w:kern w:val="0"/>
          <w:sz w:val="28"/>
          <w:highlight w:val="none"/>
        </w:rPr>
        <w:t>投标人业绩</w:t>
      </w:r>
    </w:p>
    <w:p w14:paraId="5A7792F4">
      <w:pPr>
        <w:spacing w:line="360" w:lineRule="auto"/>
        <w:jc w:val="left"/>
        <w:rPr>
          <w:rFonts w:hint="eastAsia" w:ascii="仿宋" w:hAnsi="仿宋" w:eastAsia="仿宋" w:cs="仿宋"/>
          <w:bCs/>
          <w:snapToGrid w:val="0"/>
          <w:color w:val="auto"/>
          <w:kern w:val="0"/>
          <w:sz w:val="28"/>
          <w:highlight w:val="none"/>
          <w:lang w:val="en-US" w:eastAsia="zh-CN"/>
        </w:rPr>
      </w:pPr>
      <w:r>
        <w:rPr>
          <w:rFonts w:hint="eastAsia" w:ascii="仿宋" w:hAnsi="仿宋" w:eastAsia="仿宋" w:cs="仿宋"/>
          <w:bCs/>
          <w:snapToGrid w:val="0"/>
          <w:color w:val="auto"/>
          <w:kern w:val="0"/>
          <w:sz w:val="28"/>
          <w:highlight w:val="none"/>
          <w:lang w:val="en-US" w:eastAsia="zh-CN"/>
        </w:rPr>
        <w:t>十五、履约评价情况</w:t>
      </w:r>
    </w:p>
    <w:p w14:paraId="154408F3">
      <w:pPr>
        <w:spacing w:line="360" w:lineRule="auto"/>
        <w:jc w:val="left"/>
        <w:rPr>
          <w:rFonts w:hint="eastAsia" w:ascii="仿宋" w:hAnsi="仿宋" w:eastAsia="仿宋" w:cs="仿宋"/>
          <w:bCs/>
          <w:snapToGrid w:val="0"/>
          <w:color w:val="auto"/>
          <w:kern w:val="0"/>
          <w:sz w:val="28"/>
          <w:highlight w:val="none"/>
        </w:rPr>
      </w:pPr>
      <w:r>
        <w:rPr>
          <w:rFonts w:hint="eastAsia" w:ascii="仿宋" w:hAnsi="仿宋" w:eastAsia="仿宋" w:cs="仿宋"/>
          <w:bCs/>
          <w:snapToGrid w:val="0"/>
          <w:color w:val="auto"/>
          <w:kern w:val="0"/>
          <w:sz w:val="28"/>
          <w:highlight w:val="none"/>
        </w:rPr>
        <w:t>十</w:t>
      </w:r>
      <w:r>
        <w:rPr>
          <w:rFonts w:hint="eastAsia" w:ascii="仿宋" w:hAnsi="仿宋" w:eastAsia="仿宋" w:cs="仿宋"/>
          <w:bCs/>
          <w:snapToGrid w:val="0"/>
          <w:color w:val="auto"/>
          <w:kern w:val="0"/>
          <w:sz w:val="28"/>
          <w:highlight w:val="none"/>
          <w:lang w:val="en-US" w:eastAsia="zh-CN"/>
        </w:rPr>
        <w:t>六</w:t>
      </w:r>
      <w:r>
        <w:rPr>
          <w:rFonts w:hint="eastAsia" w:ascii="仿宋" w:hAnsi="仿宋" w:eastAsia="仿宋" w:cs="仿宋"/>
          <w:bCs/>
          <w:snapToGrid w:val="0"/>
          <w:color w:val="auto"/>
          <w:kern w:val="0"/>
          <w:sz w:val="28"/>
          <w:highlight w:val="none"/>
        </w:rPr>
        <w:t>、招标文件要求的其他内容及投标人认为需要加以说明其他内容</w:t>
      </w:r>
    </w:p>
    <w:p w14:paraId="327F2818">
      <w:pPr>
        <w:pStyle w:val="6"/>
        <w:pageBreakBefore/>
        <w:spacing w:before="0" w:line="377" w:lineRule="auto"/>
        <w:jc w:val="center"/>
        <w:rPr>
          <w:rFonts w:ascii="黑体"/>
          <w:color w:val="auto"/>
          <w:highlight w:val="none"/>
        </w:rPr>
      </w:pPr>
      <w:r>
        <w:rPr>
          <w:rFonts w:hint="eastAsia" w:ascii="宋体" w:hAnsi="宋体"/>
          <w:b w:val="0"/>
          <w:color w:val="auto"/>
          <w:sz w:val="36"/>
          <w:highlight w:val="none"/>
        </w:rPr>
        <w:t>一、评标指引表</w:t>
      </w:r>
    </w:p>
    <w:p w14:paraId="5490F863">
      <w:pPr>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为方便参与该项目的评委专家的评标，快速找到评标事项与该项目投标文件所对应的位置，请投标人参照下表格式，编制本项目评标指引表。</w:t>
      </w:r>
    </w:p>
    <w:p w14:paraId="2290FF3E">
      <w:pPr>
        <w:pStyle w:val="120"/>
        <w:ind w:firstLine="0" w:firstLineChars="0"/>
        <w:jc w:val="center"/>
        <w:rPr>
          <w:rFonts w:ascii="仿宋" w:hAnsi="仿宋" w:eastAsia="仿宋" w:cs="仿宋"/>
          <w:b/>
          <w:color w:val="auto"/>
          <w:kern w:val="2"/>
          <w:sz w:val="24"/>
          <w:highlight w:val="none"/>
        </w:rPr>
      </w:pPr>
      <w:r>
        <w:rPr>
          <w:rFonts w:hint="eastAsia" w:ascii="仿宋" w:hAnsi="仿宋" w:eastAsia="仿宋" w:cs="仿宋"/>
          <w:b/>
          <w:color w:val="auto"/>
          <w:kern w:val="2"/>
          <w:sz w:val="24"/>
          <w:highlight w:val="none"/>
        </w:rPr>
        <w:t>项目评标指引表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3799"/>
        <w:gridCol w:w="2251"/>
        <w:gridCol w:w="900"/>
        <w:gridCol w:w="858"/>
      </w:tblGrid>
      <w:tr w14:paraId="6AC6F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8522" w:type="dxa"/>
            <w:gridSpan w:val="5"/>
          </w:tcPr>
          <w:p w14:paraId="2ABBA2AB">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一、资格性检查指引</w:t>
            </w:r>
          </w:p>
        </w:tc>
      </w:tr>
      <w:tr w14:paraId="44ED1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vAlign w:val="center"/>
          </w:tcPr>
          <w:p w14:paraId="300C6E69">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3799" w:type="dxa"/>
            <w:vAlign w:val="center"/>
          </w:tcPr>
          <w:p w14:paraId="3032F5B1">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资格性检查项目</w:t>
            </w:r>
          </w:p>
        </w:tc>
        <w:tc>
          <w:tcPr>
            <w:tcW w:w="3151" w:type="dxa"/>
            <w:gridSpan w:val="2"/>
            <w:vAlign w:val="center"/>
          </w:tcPr>
          <w:p w14:paraId="2253E0C6">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证明文件</w:t>
            </w:r>
          </w:p>
        </w:tc>
        <w:tc>
          <w:tcPr>
            <w:tcW w:w="858" w:type="dxa"/>
            <w:vAlign w:val="center"/>
          </w:tcPr>
          <w:p w14:paraId="784AF94B">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起止页码</w:t>
            </w:r>
          </w:p>
        </w:tc>
      </w:tr>
      <w:tr w14:paraId="2EA33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14" w:type="dxa"/>
            <w:vMerge w:val="restart"/>
            <w:vAlign w:val="center"/>
          </w:tcPr>
          <w:p w14:paraId="583C03A1">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3799" w:type="dxa"/>
            <w:vMerge w:val="restart"/>
            <w:vAlign w:val="center"/>
          </w:tcPr>
          <w:p w14:paraId="29979F9C">
            <w:pPr>
              <w:jc w:val="left"/>
              <w:rPr>
                <w:rFonts w:ascii="仿宋" w:hAnsi="仿宋" w:eastAsia="仿宋" w:cs="仿宋"/>
                <w:b/>
                <w:color w:val="auto"/>
                <w:sz w:val="24"/>
                <w:highlight w:val="none"/>
              </w:rPr>
            </w:pPr>
            <w:r>
              <w:rPr>
                <w:rFonts w:hint="eastAsia" w:ascii="仿宋" w:hAnsi="仿宋" w:eastAsia="仿宋" w:cs="仿宋"/>
                <w:color w:val="auto"/>
                <w:sz w:val="24"/>
                <w:highlight w:val="none"/>
              </w:rPr>
              <w:t>投标人不具备招标资质要求，或未提交相应资格证明材料(详见招标公告投标人资质要求，其中未列示的资质要求不得导致投标无效)</w:t>
            </w:r>
          </w:p>
        </w:tc>
        <w:tc>
          <w:tcPr>
            <w:tcW w:w="3151" w:type="dxa"/>
            <w:gridSpan w:val="2"/>
            <w:vAlign w:val="center"/>
          </w:tcPr>
          <w:p w14:paraId="545E36E4">
            <w:pPr>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营业执照</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资质证书</w:t>
            </w:r>
          </w:p>
        </w:tc>
        <w:tc>
          <w:tcPr>
            <w:tcW w:w="858" w:type="dxa"/>
            <w:shd w:val="clear" w:color="auto" w:fill="auto"/>
            <w:vAlign w:val="center"/>
          </w:tcPr>
          <w:p w14:paraId="61BD0DF3">
            <w:pPr>
              <w:jc w:val="center"/>
              <w:rPr>
                <w:rFonts w:ascii="仿宋" w:hAnsi="仿宋" w:eastAsia="仿宋" w:cs="仿宋"/>
                <w:b/>
                <w:color w:val="auto"/>
                <w:sz w:val="24"/>
                <w:highlight w:val="none"/>
              </w:rPr>
            </w:pPr>
          </w:p>
        </w:tc>
      </w:tr>
      <w:tr w14:paraId="0410D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14" w:type="dxa"/>
            <w:vMerge w:val="continue"/>
            <w:vAlign w:val="center"/>
          </w:tcPr>
          <w:p w14:paraId="182C75B2">
            <w:pPr>
              <w:jc w:val="center"/>
              <w:rPr>
                <w:rFonts w:ascii="仿宋" w:hAnsi="仿宋" w:eastAsia="仿宋" w:cs="仿宋"/>
                <w:color w:val="auto"/>
                <w:sz w:val="24"/>
                <w:highlight w:val="none"/>
              </w:rPr>
            </w:pPr>
          </w:p>
        </w:tc>
        <w:tc>
          <w:tcPr>
            <w:tcW w:w="3799" w:type="dxa"/>
            <w:vMerge w:val="continue"/>
            <w:vAlign w:val="center"/>
          </w:tcPr>
          <w:p w14:paraId="137B6B68">
            <w:pPr>
              <w:jc w:val="left"/>
              <w:rPr>
                <w:rFonts w:ascii="仿宋" w:hAnsi="仿宋" w:eastAsia="仿宋" w:cs="仿宋"/>
                <w:color w:val="auto"/>
                <w:sz w:val="24"/>
                <w:highlight w:val="none"/>
              </w:rPr>
            </w:pPr>
          </w:p>
        </w:tc>
        <w:tc>
          <w:tcPr>
            <w:tcW w:w="3151" w:type="dxa"/>
            <w:gridSpan w:val="2"/>
            <w:vAlign w:val="center"/>
          </w:tcPr>
          <w:p w14:paraId="3344381E">
            <w:pPr>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858" w:type="dxa"/>
            <w:shd w:val="clear" w:color="auto" w:fill="auto"/>
            <w:vAlign w:val="center"/>
          </w:tcPr>
          <w:p w14:paraId="396646D5">
            <w:pPr>
              <w:jc w:val="center"/>
              <w:rPr>
                <w:rFonts w:ascii="仿宋" w:hAnsi="仿宋" w:eastAsia="仿宋" w:cs="仿宋"/>
                <w:b/>
                <w:color w:val="auto"/>
                <w:sz w:val="24"/>
                <w:highlight w:val="none"/>
              </w:rPr>
            </w:pPr>
          </w:p>
        </w:tc>
      </w:tr>
      <w:tr w14:paraId="052C7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14" w:type="dxa"/>
            <w:vAlign w:val="center"/>
          </w:tcPr>
          <w:p w14:paraId="0F5A4BDC">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3799" w:type="dxa"/>
            <w:vAlign w:val="center"/>
          </w:tcPr>
          <w:p w14:paraId="0F67890E">
            <w:pPr>
              <w:jc w:val="left"/>
              <w:rPr>
                <w:rFonts w:ascii="仿宋" w:hAnsi="仿宋" w:eastAsia="仿宋" w:cs="仿宋"/>
                <w:color w:val="auto"/>
                <w:sz w:val="24"/>
                <w:highlight w:val="none"/>
              </w:rPr>
            </w:pPr>
            <w:r>
              <w:rPr>
                <w:rFonts w:hint="eastAsia" w:ascii="仿宋" w:hAnsi="仿宋" w:eastAsia="仿宋" w:cs="仿宋"/>
                <w:color w:val="auto"/>
                <w:sz w:val="24"/>
                <w:highlight w:val="none"/>
              </w:rPr>
              <w:t>投标人未按招标公告要求完成投标报名的</w:t>
            </w:r>
          </w:p>
        </w:tc>
        <w:tc>
          <w:tcPr>
            <w:tcW w:w="3151" w:type="dxa"/>
            <w:gridSpan w:val="2"/>
            <w:vAlign w:val="center"/>
          </w:tcPr>
          <w:p w14:paraId="40D964EC">
            <w:pPr>
              <w:jc w:val="left"/>
              <w:rPr>
                <w:rFonts w:ascii="仿宋" w:hAnsi="仿宋" w:eastAsia="仿宋" w:cs="仿宋"/>
                <w:color w:val="auto"/>
                <w:sz w:val="24"/>
                <w:highlight w:val="none"/>
              </w:rPr>
            </w:pPr>
            <w:r>
              <w:rPr>
                <w:rFonts w:hint="eastAsia" w:ascii="仿宋" w:hAnsi="仿宋" w:eastAsia="仿宋" w:cs="仿宋"/>
                <w:color w:val="auto"/>
                <w:sz w:val="24"/>
                <w:highlight w:val="none"/>
              </w:rPr>
              <w:t>无需提供证明材料，由</w:t>
            </w:r>
            <w:r>
              <w:rPr>
                <w:rFonts w:hint="eastAsia" w:ascii="仿宋" w:hAnsi="仿宋" w:eastAsia="仿宋" w:cs="仿宋"/>
                <w:color w:val="auto"/>
                <w:sz w:val="24"/>
                <w:highlight w:val="none"/>
                <w:lang w:eastAsia="zh-CN"/>
              </w:rPr>
              <w:t>招标代理</w:t>
            </w:r>
            <w:r>
              <w:rPr>
                <w:rFonts w:hint="eastAsia" w:ascii="仿宋" w:hAnsi="仿宋" w:eastAsia="仿宋" w:cs="仿宋"/>
                <w:color w:val="auto"/>
                <w:sz w:val="24"/>
                <w:highlight w:val="none"/>
              </w:rPr>
              <w:t>机构核查</w:t>
            </w:r>
          </w:p>
        </w:tc>
        <w:tc>
          <w:tcPr>
            <w:tcW w:w="858" w:type="dxa"/>
            <w:shd w:val="clear" w:color="auto" w:fill="auto"/>
            <w:vAlign w:val="center"/>
          </w:tcPr>
          <w:p w14:paraId="2259A044">
            <w:pPr>
              <w:jc w:val="center"/>
              <w:rPr>
                <w:rFonts w:ascii="仿宋" w:hAnsi="仿宋" w:eastAsia="仿宋" w:cs="仿宋"/>
                <w:b/>
                <w:color w:val="auto"/>
                <w:sz w:val="24"/>
                <w:highlight w:val="none"/>
              </w:rPr>
            </w:pPr>
          </w:p>
        </w:tc>
      </w:tr>
      <w:tr w14:paraId="662DE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14" w:type="dxa"/>
            <w:vAlign w:val="center"/>
          </w:tcPr>
          <w:p w14:paraId="571175C3">
            <w:pPr>
              <w:jc w:val="center"/>
              <w:rPr>
                <w:rFonts w:hint="eastAsia" w:ascii="仿宋" w:hAnsi="仿宋" w:eastAsia="仿宋" w:cs="仿宋"/>
                <w:color w:val="auto"/>
                <w:sz w:val="24"/>
                <w:highlight w:val="none"/>
              </w:rPr>
            </w:pPr>
            <w:r>
              <w:rPr>
                <w:rFonts w:hint="eastAsia" w:ascii="仿宋" w:hAnsi="仿宋" w:eastAsia="仿宋" w:cs="仿宋"/>
                <w:color w:val="000000" w:themeColor="text1"/>
                <w:sz w:val="24"/>
                <w:highlight w:val="none"/>
                <w14:textFill>
                  <w14:solidFill>
                    <w14:schemeClr w14:val="tx1"/>
                  </w14:solidFill>
                </w14:textFill>
              </w:rPr>
              <w:t>3</w:t>
            </w:r>
          </w:p>
        </w:tc>
        <w:tc>
          <w:tcPr>
            <w:tcW w:w="3799" w:type="dxa"/>
            <w:vAlign w:val="center"/>
          </w:tcPr>
          <w:p w14:paraId="21EB3CCB">
            <w:pPr>
              <w:jc w:val="left"/>
              <w:rPr>
                <w:rFonts w:hint="eastAsia" w:ascii="仿宋" w:hAnsi="仿宋" w:eastAsia="仿宋" w:cs="仿宋"/>
                <w:color w:val="auto"/>
                <w:sz w:val="24"/>
                <w:highlight w:val="none"/>
              </w:rPr>
            </w:pPr>
            <w:r>
              <w:rPr>
                <w:rFonts w:hint="eastAsia" w:ascii="仿宋" w:hAnsi="仿宋" w:eastAsia="仿宋" w:cs="仿宋"/>
                <w:color w:val="000000" w:themeColor="text1"/>
                <w:sz w:val="24"/>
                <w:highlight w:val="none"/>
                <w14:textFill>
                  <w14:solidFill>
                    <w14:schemeClr w14:val="tx1"/>
                  </w14:solidFill>
                </w14:textFill>
              </w:rPr>
              <w:t>投标截止时间前投标人未按“投标须知前附表”的要求提交投标保证金或金额不足的</w:t>
            </w:r>
          </w:p>
        </w:tc>
        <w:tc>
          <w:tcPr>
            <w:tcW w:w="3151" w:type="dxa"/>
            <w:gridSpan w:val="2"/>
            <w:vAlign w:val="center"/>
          </w:tcPr>
          <w:p w14:paraId="0F6F8293">
            <w:pPr>
              <w:jc w:val="left"/>
              <w:rPr>
                <w:rFonts w:hint="eastAsia" w:ascii="仿宋" w:hAnsi="仿宋" w:eastAsia="仿宋" w:cs="仿宋"/>
                <w:color w:val="auto"/>
                <w:sz w:val="24"/>
                <w:highlight w:val="none"/>
              </w:rPr>
            </w:pPr>
            <w:r>
              <w:rPr>
                <w:rFonts w:hint="eastAsia" w:ascii="仿宋" w:hAnsi="仿宋" w:eastAsia="仿宋" w:cs="仿宋"/>
                <w:color w:val="000000" w:themeColor="text1"/>
                <w:sz w:val="24"/>
                <w:highlight w:val="none"/>
                <w14:textFill>
                  <w14:solidFill>
                    <w14:schemeClr w14:val="tx1"/>
                  </w14:solidFill>
                </w14:textFill>
              </w:rPr>
              <w:t>投标保证金交纳证明</w:t>
            </w:r>
          </w:p>
        </w:tc>
        <w:tc>
          <w:tcPr>
            <w:tcW w:w="858" w:type="dxa"/>
            <w:shd w:val="clear" w:color="auto" w:fill="auto"/>
            <w:vAlign w:val="center"/>
          </w:tcPr>
          <w:p w14:paraId="75C62949">
            <w:pPr>
              <w:jc w:val="center"/>
              <w:rPr>
                <w:rFonts w:ascii="仿宋" w:hAnsi="仿宋" w:eastAsia="仿宋" w:cs="仿宋"/>
                <w:b/>
                <w:color w:val="auto"/>
                <w:sz w:val="24"/>
                <w:highlight w:val="none"/>
              </w:rPr>
            </w:pPr>
          </w:p>
        </w:tc>
      </w:tr>
      <w:tr w14:paraId="4A961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8522" w:type="dxa"/>
            <w:gridSpan w:val="5"/>
          </w:tcPr>
          <w:p w14:paraId="1E2352AF">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二、符合性检查指引</w:t>
            </w:r>
          </w:p>
        </w:tc>
      </w:tr>
      <w:tr w14:paraId="18FC2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tcPr>
          <w:p w14:paraId="36AB8D5F">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6050" w:type="dxa"/>
            <w:gridSpan w:val="2"/>
            <w:vAlign w:val="center"/>
          </w:tcPr>
          <w:p w14:paraId="231165BB">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符合性检查项目</w:t>
            </w:r>
          </w:p>
        </w:tc>
        <w:tc>
          <w:tcPr>
            <w:tcW w:w="1758" w:type="dxa"/>
            <w:gridSpan w:val="2"/>
            <w:vAlign w:val="center"/>
          </w:tcPr>
          <w:p w14:paraId="295C1179">
            <w:pPr>
              <w:jc w:val="center"/>
              <w:rPr>
                <w:rFonts w:ascii="仿宋" w:hAnsi="仿宋" w:eastAsia="仿宋" w:cs="仿宋"/>
                <w:b/>
                <w:color w:val="auto"/>
                <w:sz w:val="24"/>
                <w:highlight w:val="none"/>
              </w:rPr>
            </w:pPr>
            <w:r>
              <w:rPr>
                <w:rFonts w:hint="eastAsia" w:ascii="仿宋" w:hAnsi="仿宋" w:eastAsia="仿宋" w:cs="仿宋"/>
                <w:b/>
                <w:color w:val="auto"/>
                <w:szCs w:val="21"/>
                <w:highlight w:val="none"/>
              </w:rPr>
              <w:t>投标人自查情况</w:t>
            </w:r>
          </w:p>
        </w:tc>
      </w:tr>
      <w:tr w14:paraId="44D5C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vAlign w:val="center"/>
          </w:tcPr>
          <w:p w14:paraId="01C3DDAB">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6050" w:type="dxa"/>
            <w:gridSpan w:val="2"/>
            <w:vAlign w:val="center"/>
          </w:tcPr>
          <w:p w14:paraId="070EC350">
            <w:pPr>
              <w:rPr>
                <w:rFonts w:ascii="仿宋" w:hAnsi="仿宋" w:eastAsia="仿宋" w:cs="仿宋"/>
                <w:color w:val="auto"/>
                <w:sz w:val="24"/>
                <w:highlight w:val="none"/>
              </w:rPr>
            </w:pPr>
            <w:r>
              <w:rPr>
                <w:rFonts w:hint="eastAsia" w:ascii="仿宋" w:hAnsi="仿宋" w:eastAsia="仿宋" w:cs="仿宋"/>
                <w:sz w:val="24"/>
                <w:highlight w:val="none"/>
              </w:rPr>
              <w:t>将一个包中的内容拆开投标</w:t>
            </w:r>
          </w:p>
        </w:tc>
        <w:tc>
          <w:tcPr>
            <w:tcW w:w="1758" w:type="dxa"/>
            <w:gridSpan w:val="2"/>
            <w:vAlign w:val="center"/>
          </w:tcPr>
          <w:p w14:paraId="6C82FC43">
            <w:pPr>
              <w:jc w:val="center"/>
              <w:rPr>
                <w:rFonts w:ascii="仿宋" w:hAnsi="仿宋" w:eastAsia="仿宋" w:cs="仿宋"/>
                <w:color w:val="auto"/>
                <w:sz w:val="24"/>
                <w:highlight w:val="none"/>
              </w:rPr>
            </w:pPr>
            <w:r>
              <w:rPr>
                <w:rFonts w:hint="eastAsia" w:ascii="仿宋" w:hAnsi="仿宋" w:eastAsia="仿宋" w:cs="仿宋"/>
                <w:color w:val="auto"/>
                <w:sz w:val="24"/>
                <w:highlight w:val="none"/>
              </w:rPr>
              <w:t>不存在（示例）</w:t>
            </w:r>
          </w:p>
        </w:tc>
      </w:tr>
      <w:tr w14:paraId="3ECC9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vAlign w:val="center"/>
          </w:tcPr>
          <w:p w14:paraId="1C30BC48">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6050" w:type="dxa"/>
            <w:gridSpan w:val="2"/>
            <w:vAlign w:val="center"/>
          </w:tcPr>
          <w:p w14:paraId="780588CA">
            <w:pPr>
              <w:rPr>
                <w:rFonts w:ascii="仿宋" w:hAnsi="仿宋" w:eastAsia="仿宋" w:cs="仿宋"/>
                <w:color w:val="auto"/>
                <w:sz w:val="24"/>
                <w:highlight w:val="none"/>
              </w:rPr>
            </w:pPr>
            <w:r>
              <w:rPr>
                <w:rFonts w:hint="eastAsia" w:ascii="仿宋" w:hAnsi="仿宋" w:eastAsia="仿宋" w:cs="仿宋"/>
                <w:sz w:val="24"/>
                <w:highlight w:val="none"/>
              </w:rPr>
              <w:t>投标文件</w:t>
            </w:r>
            <w:r>
              <w:rPr>
                <w:rFonts w:hint="eastAsia" w:ascii="仿宋" w:hAnsi="仿宋" w:eastAsia="仿宋" w:cs="仿宋"/>
                <w:sz w:val="24"/>
                <w:szCs w:val="32"/>
                <w:highlight w:val="none"/>
              </w:rPr>
              <w:t>及</w:t>
            </w:r>
            <w:r>
              <w:rPr>
                <w:rFonts w:hint="eastAsia" w:ascii="仿宋" w:hAnsi="仿宋" w:eastAsia="仿宋" w:cs="仿宋"/>
                <w:sz w:val="24"/>
                <w:szCs w:val="32"/>
                <w:highlight w:val="none"/>
                <w:lang w:eastAsia="zh-CN"/>
              </w:rPr>
              <w:t>报价一览表</w:t>
            </w:r>
            <w:r>
              <w:rPr>
                <w:rFonts w:hint="eastAsia" w:ascii="仿宋" w:hAnsi="仿宋" w:eastAsia="仿宋" w:cs="仿宋"/>
                <w:sz w:val="24"/>
                <w:highlight w:val="none"/>
              </w:rPr>
              <w:t>未按规定密封、签字、盖章</w:t>
            </w:r>
          </w:p>
        </w:tc>
        <w:tc>
          <w:tcPr>
            <w:tcW w:w="1758" w:type="dxa"/>
            <w:gridSpan w:val="2"/>
            <w:vAlign w:val="center"/>
          </w:tcPr>
          <w:p w14:paraId="03EAEF73">
            <w:pPr>
              <w:jc w:val="center"/>
              <w:rPr>
                <w:rFonts w:ascii="仿宋" w:hAnsi="仿宋" w:eastAsia="仿宋" w:cs="仿宋"/>
                <w:color w:val="auto"/>
                <w:sz w:val="24"/>
                <w:highlight w:val="none"/>
              </w:rPr>
            </w:pPr>
          </w:p>
        </w:tc>
      </w:tr>
      <w:tr w14:paraId="3F4D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vAlign w:val="center"/>
          </w:tcPr>
          <w:p w14:paraId="4E753CCA">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6050" w:type="dxa"/>
            <w:gridSpan w:val="2"/>
            <w:vAlign w:val="center"/>
          </w:tcPr>
          <w:p w14:paraId="2B9FAFDC">
            <w:pPr>
              <w:rPr>
                <w:rFonts w:ascii="仿宋" w:hAnsi="仿宋" w:eastAsia="仿宋" w:cs="仿宋"/>
                <w:color w:val="auto"/>
                <w:sz w:val="24"/>
                <w:highlight w:val="none"/>
              </w:rPr>
            </w:pPr>
            <w:r>
              <w:rPr>
                <w:rFonts w:hint="eastAsia" w:ascii="仿宋" w:hAnsi="仿宋" w:eastAsia="仿宋" w:cs="仿宋"/>
                <w:sz w:val="24"/>
                <w:highlight w:val="none"/>
              </w:rPr>
              <w:t>招标文件未规定允许有替代方案时，对同一项目投标时，同时提供两套或两套以上的投标方案</w:t>
            </w:r>
          </w:p>
        </w:tc>
        <w:tc>
          <w:tcPr>
            <w:tcW w:w="1758" w:type="dxa"/>
            <w:gridSpan w:val="2"/>
            <w:vAlign w:val="center"/>
          </w:tcPr>
          <w:p w14:paraId="04DB9358">
            <w:pPr>
              <w:jc w:val="center"/>
              <w:rPr>
                <w:rFonts w:ascii="仿宋" w:hAnsi="仿宋" w:eastAsia="仿宋" w:cs="仿宋"/>
                <w:color w:val="auto"/>
                <w:sz w:val="24"/>
                <w:highlight w:val="none"/>
              </w:rPr>
            </w:pPr>
          </w:p>
        </w:tc>
      </w:tr>
      <w:tr w14:paraId="7B332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vAlign w:val="center"/>
          </w:tcPr>
          <w:p w14:paraId="52593DFC">
            <w:pPr>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6050" w:type="dxa"/>
            <w:gridSpan w:val="2"/>
            <w:vAlign w:val="center"/>
          </w:tcPr>
          <w:p w14:paraId="5125F1C0">
            <w:pPr>
              <w:rPr>
                <w:rFonts w:ascii="仿宋" w:hAnsi="仿宋" w:eastAsia="仿宋" w:cs="仿宋"/>
                <w:color w:val="auto"/>
                <w:sz w:val="24"/>
                <w:highlight w:val="none"/>
              </w:rPr>
            </w:pPr>
            <w:r>
              <w:rPr>
                <w:rFonts w:hint="eastAsia" w:ascii="仿宋" w:hAnsi="仿宋" w:eastAsia="仿宋" w:cs="仿宋"/>
                <w:sz w:val="24"/>
                <w:highlight w:val="none"/>
              </w:rPr>
              <w:t>投标文件载明的服务期限不满足招标文件规定的</w:t>
            </w:r>
          </w:p>
        </w:tc>
        <w:tc>
          <w:tcPr>
            <w:tcW w:w="1758" w:type="dxa"/>
            <w:gridSpan w:val="2"/>
            <w:vAlign w:val="center"/>
          </w:tcPr>
          <w:p w14:paraId="772DEF4D">
            <w:pPr>
              <w:jc w:val="center"/>
              <w:rPr>
                <w:rFonts w:ascii="仿宋" w:hAnsi="仿宋" w:eastAsia="仿宋" w:cs="仿宋"/>
                <w:b/>
                <w:color w:val="auto"/>
                <w:sz w:val="24"/>
                <w:highlight w:val="none"/>
              </w:rPr>
            </w:pPr>
          </w:p>
        </w:tc>
      </w:tr>
      <w:tr w14:paraId="20248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vAlign w:val="center"/>
          </w:tcPr>
          <w:p w14:paraId="44AB1B4D">
            <w:pPr>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6050" w:type="dxa"/>
            <w:gridSpan w:val="2"/>
            <w:vAlign w:val="center"/>
          </w:tcPr>
          <w:p w14:paraId="7AF7900A">
            <w:pPr>
              <w:rPr>
                <w:rFonts w:ascii="仿宋" w:hAnsi="仿宋" w:eastAsia="仿宋" w:cs="仿宋"/>
                <w:color w:val="auto"/>
                <w:sz w:val="24"/>
                <w:highlight w:val="none"/>
              </w:rPr>
            </w:pPr>
            <w:r>
              <w:rPr>
                <w:rFonts w:hint="eastAsia" w:ascii="仿宋" w:hAnsi="仿宋" w:eastAsia="仿宋" w:cs="仿宋"/>
                <w:sz w:val="24"/>
                <w:highlight w:val="none"/>
              </w:rPr>
              <w:t>投标文件对招标文件中标注“★”的条款响应为负偏离的</w:t>
            </w:r>
          </w:p>
        </w:tc>
        <w:tc>
          <w:tcPr>
            <w:tcW w:w="1758" w:type="dxa"/>
            <w:gridSpan w:val="2"/>
            <w:vAlign w:val="center"/>
          </w:tcPr>
          <w:p w14:paraId="7AB82678">
            <w:pPr>
              <w:jc w:val="center"/>
              <w:rPr>
                <w:rFonts w:ascii="仿宋" w:hAnsi="仿宋" w:eastAsia="仿宋" w:cs="仿宋"/>
                <w:b/>
                <w:color w:val="auto"/>
                <w:sz w:val="24"/>
                <w:highlight w:val="none"/>
              </w:rPr>
            </w:pPr>
          </w:p>
        </w:tc>
      </w:tr>
      <w:tr w14:paraId="37628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vAlign w:val="center"/>
          </w:tcPr>
          <w:p w14:paraId="5A64373F">
            <w:pPr>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6050" w:type="dxa"/>
            <w:gridSpan w:val="2"/>
            <w:vAlign w:val="center"/>
          </w:tcPr>
          <w:p w14:paraId="7BDDC913">
            <w:pPr>
              <w:rPr>
                <w:rFonts w:hint="eastAsia" w:ascii="仿宋" w:hAnsi="仿宋" w:eastAsia="仿宋" w:cs="仿宋"/>
                <w:color w:val="auto"/>
                <w:sz w:val="24"/>
                <w:highlight w:val="none"/>
                <w:lang w:eastAsia="zh-CN"/>
              </w:rPr>
            </w:pPr>
            <w:r>
              <w:rPr>
                <w:rFonts w:hint="eastAsia" w:ascii="仿宋" w:hAnsi="仿宋" w:eastAsia="仿宋" w:cs="仿宋"/>
                <w:bCs w:val="0"/>
                <w:kern w:val="2"/>
                <w:sz w:val="24"/>
                <w:szCs w:val="24"/>
                <w:highlight w:val="none"/>
                <w:lang w:val="en-US" w:eastAsia="zh-CN" w:bidi="ar-SA"/>
              </w:rPr>
              <w:t>增值税率填写要求：在%前填写整数；投标人参与投标只允许填报唯一1个“投标报价”和1个“增值税率”，填报了2个或以上“投标报价”和“增值税率”的，其投标将直接作投标无效处理</w:t>
            </w:r>
            <w:r>
              <w:rPr>
                <w:rFonts w:hint="eastAsia" w:ascii="仿宋" w:hAnsi="仿宋" w:eastAsia="仿宋" w:cs="仿宋"/>
                <w:sz w:val="24"/>
                <w:highlight w:val="none"/>
                <w:lang w:eastAsia="zh-CN"/>
              </w:rPr>
              <w:t>；</w:t>
            </w:r>
          </w:p>
        </w:tc>
        <w:tc>
          <w:tcPr>
            <w:tcW w:w="1758" w:type="dxa"/>
            <w:gridSpan w:val="2"/>
            <w:vAlign w:val="center"/>
          </w:tcPr>
          <w:p w14:paraId="650F37AE">
            <w:pPr>
              <w:jc w:val="center"/>
              <w:rPr>
                <w:rFonts w:ascii="仿宋" w:hAnsi="仿宋" w:eastAsia="仿宋" w:cs="仿宋"/>
                <w:b/>
                <w:color w:val="auto"/>
                <w:sz w:val="24"/>
                <w:highlight w:val="none"/>
              </w:rPr>
            </w:pPr>
          </w:p>
        </w:tc>
      </w:tr>
      <w:tr w14:paraId="1C8E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vAlign w:val="center"/>
          </w:tcPr>
          <w:p w14:paraId="6D1DBF99">
            <w:pPr>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6050" w:type="dxa"/>
            <w:gridSpan w:val="2"/>
            <w:vAlign w:val="center"/>
          </w:tcPr>
          <w:p w14:paraId="3C5F8805">
            <w:pPr>
              <w:rPr>
                <w:rFonts w:hint="eastAsia" w:ascii="仿宋" w:hAnsi="仿宋" w:eastAsia="仿宋" w:cs="仿宋"/>
                <w:color w:val="auto"/>
                <w:sz w:val="24"/>
                <w:highlight w:val="none"/>
                <w:lang w:eastAsia="zh-CN"/>
              </w:rPr>
            </w:pPr>
            <w:r>
              <w:rPr>
                <w:rFonts w:hint="eastAsia" w:ascii="仿宋" w:hAnsi="仿宋" w:eastAsia="仿宋" w:cs="仿宋"/>
                <w:kern w:val="2"/>
                <w:sz w:val="24"/>
                <w:szCs w:val="24"/>
                <w:highlight w:val="none"/>
                <w:lang w:val="en-US" w:eastAsia="zh-CN" w:bidi="ar-SA"/>
              </w:rPr>
              <w:t>投标人不得以低于成本的报价竞标；评标委员会认为投标人的报价明显低于其他通过符合性审查投标人的报价，有可能影响服务质量或者不能诚信履约的，应当要求其在合理的时间内提供书面说明，必要时提交相关证明材料，投标人不能证明其报价合理性的，评标委员会应当将其作为无效投标处理。</w:t>
            </w:r>
          </w:p>
        </w:tc>
        <w:tc>
          <w:tcPr>
            <w:tcW w:w="1758" w:type="dxa"/>
            <w:gridSpan w:val="2"/>
            <w:vAlign w:val="center"/>
          </w:tcPr>
          <w:p w14:paraId="33B730CC">
            <w:pPr>
              <w:jc w:val="center"/>
              <w:rPr>
                <w:rFonts w:ascii="仿宋" w:hAnsi="仿宋" w:eastAsia="仿宋" w:cs="仿宋"/>
                <w:color w:val="auto"/>
                <w:sz w:val="24"/>
                <w:highlight w:val="none"/>
              </w:rPr>
            </w:pPr>
          </w:p>
        </w:tc>
      </w:tr>
      <w:tr w14:paraId="701D2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vAlign w:val="center"/>
          </w:tcPr>
          <w:p w14:paraId="2AE98295">
            <w:pPr>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6050" w:type="dxa"/>
            <w:gridSpan w:val="2"/>
            <w:vAlign w:val="center"/>
          </w:tcPr>
          <w:p w14:paraId="088E44FF">
            <w:pPr>
              <w:rPr>
                <w:rFonts w:hint="eastAsia" w:ascii="仿宋" w:hAnsi="仿宋" w:eastAsia="仿宋" w:cs="仿宋"/>
                <w:color w:val="auto"/>
                <w:sz w:val="24"/>
                <w:highlight w:val="none"/>
                <w:lang w:eastAsia="zh-CN"/>
              </w:rPr>
            </w:pPr>
            <w:r>
              <w:rPr>
                <w:rFonts w:hint="eastAsia" w:ascii="仿宋" w:hAnsi="仿宋" w:eastAsia="仿宋" w:cs="仿宋"/>
                <w:bCs w:val="0"/>
                <w:sz w:val="24"/>
                <w:highlight w:val="none"/>
              </w:rPr>
              <w:t>投标人必须同时填报“投标报价”和“增值税率”（投标报价=1-投标下浮率）。“投标报价”和“增值税率”缺填、漏填、错填一项及以上的，将直接作投标无效处理</w:t>
            </w:r>
            <w:r>
              <w:rPr>
                <w:rFonts w:hint="eastAsia" w:ascii="仿宋" w:hAnsi="仿宋" w:eastAsia="仿宋" w:cs="仿宋"/>
                <w:bCs w:val="0"/>
                <w:kern w:val="2"/>
                <w:sz w:val="24"/>
                <w:highlight w:val="none"/>
              </w:rPr>
              <w:t>；</w:t>
            </w:r>
          </w:p>
        </w:tc>
        <w:tc>
          <w:tcPr>
            <w:tcW w:w="1758" w:type="dxa"/>
            <w:gridSpan w:val="2"/>
            <w:vAlign w:val="center"/>
          </w:tcPr>
          <w:p w14:paraId="25B84FF1">
            <w:pPr>
              <w:jc w:val="center"/>
              <w:rPr>
                <w:rFonts w:ascii="仿宋" w:hAnsi="仿宋" w:eastAsia="仿宋" w:cs="仿宋"/>
                <w:b/>
                <w:color w:val="auto"/>
                <w:sz w:val="24"/>
                <w:highlight w:val="none"/>
              </w:rPr>
            </w:pPr>
          </w:p>
        </w:tc>
      </w:tr>
      <w:tr w14:paraId="43B2B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vAlign w:val="center"/>
          </w:tcPr>
          <w:p w14:paraId="12EB4A29">
            <w:pPr>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9</w:t>
            </w:r>
          </w:p>
        </w:tc>
        <w:tc>
          <w:tcPr>
            <w:tcW w:w="6050" w:type="dxa"/>
            <w:gridSpan w:val="2"/>
            <w:vAlign w:val="center"/>
          </w:tcPr>
          <w:p w14:paraId="0373E3C2">
            <w:pPr>
              <w:rPr>
                <w:rFonts w:ascii="仿宋" w:hAnsi="仿宋" w:eastAsia="仿宋" w:cs="仿宋"/>
                <w:color w:val="auto"/>
                <w:sz w:val="24"/>
                <w:highlight w:val="none"/>
              </w:rPr>
            </w:pPr>
            <w:r>
              <w:rPr>
                <w:rFonts w:hint="eastAsia" w:ascii="仿宋" w:hAnsi="仿宋" w:eastAsia="仿宋" w:cs="仿宋"/>
                <w:sz w:val="24"/>
                <w:highlight w:val="none"/>
              </w:rPr>
              <w:t>投标报价有严重缺漏项目</w:t>
            </w:r>
          </w:p>
        </w:tc>
        <w:tc>
          <w:tcPr>
            <w:tcW w:w="1758" w:type="dxa"/>
            <w:gridSpan w:val="2"/>
            <w:vAlign w:val="center"/>
          </w:tcPr>
          <w:p w14:paraId="38BBC54D">
            <w:pPr>
              <w:jc w:val="center"/>
              <w:rPr>
                <w:rFonts w:ascii="仿宋" w:hAnsi="仿宋" w:eastAsia="仿宋" w:cs="仿宋"/>
                <w:b/>
                <w:color w:val="auto"/>
                <w:sz w:val="24"/>
                <w:highlight w:val="none"/>
              </w:rPr>
            </w:pPr>
          </w:p>
        </w:tc>
      </w:tr>
      <w:tr w14:paraId="03AB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vAlign w:val="center"/>
          </w:tcPr>
          <w:p w14:paraId="3BF38A5E">
            <w:pPr>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10</w:t>
            </w:r>
          </w:p>
        </w:tc>
        <w:tc>
          <w:tcPr>
            <w:tcW w:w="6050" w:type="dxa"/>
            <w:gridSpan w:val="2"/>
            <w:vAlign w:val="center"/>
          </w:tcPr>
          <w:p w14:paraId="086E0FC4">
            <w:pPr>
              <w:rPr>
                <w:rFonts w:ascii="仿宋" w:hAnsi="仿宋" w:eastAsia="仿宋" w:cs="仿宋"/>
                <w:color w:val="auto"/>
                <w:sz w:val="24"/>
                <w:highlight w:val="none"/>
              </w:rPr>
            </w:pPr>
            <w:r>
              <w:rPr>
                <w:rFonts w:hint="eastAsia" w:ascii="仿宋" w:hAnsi="仿宋" w:eastAsia="仿宋" w:cs="仿宋"/>
                <w:sz w:val="24"/>
                <w:highlight w:val="none"/>
              </w:rPr>
              <w:t>法律、法规规定的其他情形</w:t>
            </w:r>
          </w:p>
        </w:tc>
        <w:tc>
          <w:tcPr>
            <w:tcW w:w="1758" w:type="dxa"/>
            <w:gridSpan w:val="2"/>
          </w:tcPr>
          <w:p w14:paraId="07C817AA">
            <w:pPr>
              <w:jc w:val="center"/>
              <w:rPr>
                <w:rFonts w:ascii="仿宋" w:hAnsi="仿宋" w:eastAsia="仿宋" w:cs="仿宋"/>
                <w:b/>
                <w:color w:val="auto"/>
                <w:sz w:val="24"/>
                <w:highlight w:val="none"/>
              </w:rPr>
            </w:pPr>
          </w:p>
        </w:tc>
      </w:tr>
      <w:tr w14:paraId="5543A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522" w:type="dxa"/>
            <w:gridSpan w:val="5"/>
            <w:tcBorders>
              <w:top w:val="single" w:color="auto" w:sz="4" w:space="0"/>
            </w:tcBorders>
            <w:vAlign w:val="center"/>
          </w:tcPr>
          <w:p w14:paraId="5F50751C">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三、综合评分指引</w:t>
            </w:r>
          </w:p>
        </w:tc>
      </w:tr>
      <w:tr w14:paraId="7769F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tcBorders>
              <w:bottom w:val="single" w:color="auto" w:sz="4" w:space="0"/>
            </w:tcBorders>
            <w:vAlign w:val="center"/>
          </w:tcPr>
          <w:p w14:paraId="1C2FA51E">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评分类别</w:t>
            </w:r>
          </w:p>
        </w:tc>
        <w:tc>
          <w:tcPr>
            <w:tcW w:w="6050" w:type="dxa"/>
            <w:gridSpan w:val="2"/>
            <w:tcBorders>
              <w:bottom w:val="single" w:color="auto" w:sz="4" w:space="0"/>
            </w:tcBorders>
            <w:vAlign w:val="center"/>
          </w:tcPr>
          <w:p w14:paraId="4CC5F9B8">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评分项目</w:t>
            </w:r>
          </w:p>
        </w:tc>
        <w:tc>
          <w:tcPr>
            <w:tcW w:w="900" w:type="dxa"/>
            <w:tcBorders>
              <w:bottom w:val="single" w:color="auto" w:sz="4" w:space="0"/>
            </w:tcBorders>
            <w:vAlign w:val="center"/>
          </w:tcPr>
          <w:p w14:paraId="20F16162">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对应章节</w:t>
            </w:r>
          </w:p>
        </w:tc>
        <w:tc>
          <w:tcPr>
            <w:tcW w:w="858" w:type="dxa"/>
            <w:tcBorders>
              <w:bottom w:val="single" w:color="auto" w:sz="4" w:space="0"/>
            </w:tcBorders>
            <w:vAlign w:val="center"/>
          </w:tcPr>
          <w:p w14:paraId="73D8EC42">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起止页码</w:t>
            </w:r>
          </w:p>
        </w:tc>
      </w:tr>
      <w:tr w14:paraId="45C38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14" w:type="dxa"/>
            <w:tcBorders>
              <w:top w:val="single" w:color="auto" w:sz="4" w:space="0"/>
              <w:bottom w:val="single" w:color="auto" w:sz="4" w:space="0"/>
            </w:tcBorders>
            <w:vAlign w:val="center"/>
          </w:tcPr>
          <w:p w14:paraId="4B526969">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技术部分</w:t>
            </w:r>
          </w:p>
        </w:tc>
        <w:tc>
          <w:tcPr>
            <w:tcW w:w="6050" w:type="dxa"/>
            <w:gridSpan w:val="2"/>
            <w:tcBorders>
              <w:top w:val="single" w:color="auto" w:sz="4" w:space="0"/>
              <w:bottom w:val="single" w:color="auto" w:sz="4" w:space="0"/>
            </w:tcBorders>
            <w:shd w:val="clear" w:color="auto" w:fill="auto"/>
          </w:tcPr>
          <w:p w14:paraId="248AC52A">
            <w:pPr>
              <w:jc w:val="center"/>
              <w:rPr>
                <w:rFonts w:ascii="仿宋" w:hAnsi="仿宋" w:eastAsia="仿宋" w:cs="仿宋"/>
                <w:color w:val="auto"/>
                <w:sz w:val="24"/>
                <w:highlight w:val="none"/>
              </w:rPr>
            </w:pPr>
            <w:r>
              <w:rPr>
                <w:rFonts w:hint="eastAsia" w:ascii="仿宋" w:hAnsi="仿宋" w:eastAsia="仿宋" w:cs="仿宋"/>
                <w:color w:val="auto"/>
                <w:sz w:val="24"/>
                <w:highlight w:val="none"/>
              </w:rPr>
              <w:t>（请根据评标信息内容调整）</w:t>
            </w:r>
          </w:p>
        </w:tc>
        <w:tc>
          <w:tcPr>
            <w:tcW w:w="900" w:type="dxa"/>
            <w:tcBorders>
              <w:top w:val="single" w:color="auto" w:sz="4" w:space="0"/>
              <w:bottom w:val="single" w:color="auto" w:sz="4" w:space="0"/>
            </w:tcBorders>
          </w:tcPr>
          <w:p w14:paraId="1673A6FA">
            <w:pPr>
              <w:jc w:val="center"/>
              <w:rPr>
                <w:rFonts w:ascii="仿宋" w:hAnsi="仿宋" w:eastAsia="仿宋" w:cs="仿宋"/>
                <w:b/>
                <w:color w:val="auto"/>
                <w:sz w:val="24"/>
                <w:highlight w:val="none"/>
              </w:rPr>
            </w:pPr>
          </w:p>
        </w:tc>
        <w:tc>
          <w:tcPr>
            <w:tcW w:w="858" w:type="dxa"/>
            <w:tcBorders>
              <w:top w:val="single" w:color="auto" w:sz="4" w:space="0"/>
              <w:bottom w:val="single" w:color="auto" w:sz="4" w:space="0"/>
            </w:tcBorders>
          </w:tcPr>
          <w:p w14:paraId="0A0762FD">
            <w:pPr>
              <w:jc w:val="center"/>
              <w:rPr>
                <w:rFonts w:ascii="仿宋" w:hAnsi="仿宋" w:eastAsia="仿宋" w:cs="仿宋"/>
                <w:b/>
                <w:color w:val="auto"/>
                <w:sz w:val="24"/>
                <w:highlight w:val="none"/>
              </w:rPr>
            </w:pPr>
          </w:p>
        </w:tc>
      </w:tr>
      <w:tr w14:paraId="39610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14" w:type="dxa"/>
            <w:tcBorders>
              <w:top w:val="single" w:color="auto" w:sz="4" w:space="0"/>
              <w:bottom w:val="single" w:color="auto" w:sz="4" w:space="0"/>
            </w:tcBorders>
            <w:vAlign w:val="center"/>
          </w:tcPr>
          <w:p w14:paraId="522BED5F">
            <w:pPr>
              <w:jc w:val="center"/>
              <w:rPr>
                <w:color w:val="auto"/>
                <w:sz w:val="24"/>
                <w:szCs w:val="32"/>
                <w:highlight w:val="none"/>
              </w:rPr>
            </w:pPr>
          </w:p>
          <w:p w14:paraId="49A4080A">
            <w:pPr>
              <w:pStyle w:val="2"/>
              <w:rPr>
                <w:color w:val="auto"/>
                <w:sz w:val="24"/>
                <w:szCs w:val="32"/>
                <w:highlight w:val="none"/>
              </w:rPr>
            </w:pPr>
          </w:p>
          <w:p w14:paraId="47963A68">
            <w:pPr>
              <w:rPr>
                <w:color w:val="auto"/>
                <w:sz w:val="24"/>
                <w:szCs w:val="32"/>
                <w:highlight w:val="none"/>
              </w:rPr>
            </w:pPr>
          </w:p>
        </w:tc>
        <w:tc>
          <w:tcPr>
            <w:tcW w:w="6050" w:type="dxa"/>
            <w:gridSpan w:val="2"/>
            <w:tcBorders>
              <w:top w:val="single" w:color="auto" w:sz="4" w:space="0"/>
              <w:bottom w:val="single" w:color="auto" w:sz="4" w:space="0"/>
            </w:tcBorders>
            <w:shd w:val="clear" w:color="auto" w:fill="auto"/>
          </w:tcPr>
          <w:p w14:paraId="5DB9304D">
            <w:pPr>
              <w:jc w:val="center"/>
              <w:rPr>
                <w:rFonts w:ascii="仿宋" w:hAnsi="仿宋" w:eastAsia="仿宋" w:cs="仿宋"/>
                <w:color w:val="auto"/>
                <w:sz w:val="24"/>
                <w:highlight w:val="none"/>
              </w:rPr>
            </w:pPr>
          </w:p>
        </w:tc>
        <w:tc>
          <w:tcPr>
            <w:tcW w:w="900" w:type="dxa"/>
            <w:tcBorders>
              <w:top w:val="single" w:color="auto" w:sz="4" w:space="0"/>
              <w:bottom w:val="single" w:color="auto" w:sz="4" w:space="0"/>
            </w:tcBorders>
          </w:tcPr>
          <w:p w14:paraId="7760C6B4">
            <w:pPr>
              <w:jc w:val="center"/>
              <w:rPr>
                <w:rFonts w:ascii="仿宋" w:hAnsi="仿宋" w:eastAsia="仿宋" w:cs="仿宋"/>
                <w:b/>
                <w:color w:val="auto"/>
                <w:sz w:val="24"/>
                <w:highlight w:val="none"/>
              </w:rPr>
            </w:pPr>
          </w:p>
        </w:tc>
        <w:tc>
          <w:tcPr>
            <w:tcW w:w="858" w:type="dxa"/>
            <w:tcBorders>
              <w:top w:val="single" w:color="auto" w:sz="4" w:space="0"/>
              <w:bottom w:val="single" w:color="auto" w:sz="4" w:space="0"/>
            </w:tcBorders>
          </w:tcPr>
          <w:p w14:paraId="0E760F1B">
            <w:pPr>
              <w:jc w:val="center"/>
              <w:rPr>
                <w:rFonts w:ascii="仿宋" w:hAnsi="仿宋" w:eastAsia="仿宋" w:cs="仿宋"/>
                <w:b/>
                <w:color w:val="auto"/>
                <w:sz w:val="24"/>
                <w:highlight w:val="none"/>
              </w:rPr>
            </w:pPr>
          </w:p>
        </w:tc>
      </w:tr>
      <w:tr w14:paraId="4A7DE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14" w:type="dxa"/>
            <w:vMerge w:val="restart"/>
            <w:tcBorders>
              <w:top w:val="single" w:color="auto" w:sz="4" w:space="0"/>
              <w:bottom w:val="single" w:color="auto" w:sz="4" w:space="0"/>
            </w:tcBorders>
            <w:vAlign w:val="center"/>
          </w:tcPr>
          <w:p w14:paraId="2037152C">
            <w:pPr>
              <w:rPr>
                <w:color w:val="auto"/>
                <w:sz w:val="24"/>
                <w:szCs w:val="32"/>
                <w:highlight w:val="none"/>
              </w:rPr>
            </w:pPr>
          </w:p>
          <w:p w14:paraId="2210A308">
            <w:pPr>
              <w:pStyle w:val="2"/>
              <w:rPr>
                <w:color w:val="auto"/>
                <w:sz w:val="24"/>
                <w:szCs w:val="32"/>
                <w:highlight w:val="none"/>
              </w:rPr>
            </w:pPr>
          </w:p>
          <w:p w14:paraId="42D47244">
            <w:pPr>
              <w:rPr>
                <w:color w:val="auto"/>
                <w:sz w:val="24"/>
                <w:szCs w:val="32"/>
                <w:highlight w:val="none"/>
              </w:rPr>
            </w:pPr>
          </w:p>
        </w:tc>
        <w:tc>
          <w:tcPr>
            <w:tcW w:w="6050" w:type="dxa"/>
            <w:gridSpan w:val="2"/>
            <w:tcBorders>
              <w:top w:val="single" w:color="auto" w:sz="4" w:space="0"/>
              <w:bottom w:val="single" w:color="auto" w:sz="4" w:space="0"/>
            </w:tcBorders>
            <w:shd w:val="clear" w:color="auto" w:fill="auto"/>
          </w:tcPr>
          <w:p w14:paraId="5E964ED5">
            <w:pPr>
              <w:jc w:val="center"/>
              <w:rPr>
                <w:rFonts w:ascii="仿宋" w:hAnsi="仿宋" w:eastAsia="仿宋" w:cs="仿宋"/>
                <w:color w:val="auto"/>
                <w:sz w:val="24"/>
                <w:highlight w:val="none"/>
              </w:rPr>
            </w:pPr>
          </w:p>
        </w:tc>
        <w:tc>
          <w:tcPr>
            <w:tcW w:w="900" w:type="dxa"/>
            <w:tcBorders>
              <w:top w:val="single" w:color="auto" w:sz="4" w:space="0"/>
              <w:bottom w:val="single" w:color="auto" w:sz="4" w:space="0"/>
            </w:tcBorders>
          </w:tcPr>
          <w:p w14:paraId="1F17B720">
            <w:pPr>
              <w:jc w:val="center"/>
              <w:rPr>
                <w:rFonts w:ascii="仿宋" w:hAnsi="仿宋" w:eastAsia="仿宋" w:cs="仿宋"/>
                <w:b/>
                <w:color w:val="auto"/>
                <w:sz w:val="24"/>
                <w:highlight w:val="none"/>
              </w:rPr>
            </w:pPr>
          </w:p>
        </w:tc>
        <w:tc>
          <w:tcPr>
            <w:tcW w:w="858" w:type="dxa"/>
            <w:tcBorders>
              <w:top w:val="single" w:color="auto" w:sz="4" w:space="0"/>
              <w:bottom w:val="single" w:color="auto" w:sz="4" w:space="0"/>
            </w:tcBorders>
          </w:tcPr>
          <w:p w14:paraId="62652294">
            <w:pPr>
              <w:jc w:val="center"/>
              <w:rPr>
                <w:rFonts w:ascii="仿宋" w:hAnsi="仿宋" w:eastAsia="仿宋" w:cs="仿宋"/>
                <w:b/>
                <w:color w:val="auto"/>
                <w:sz w:val="24"/>
                <w:highlight w:val="none"/>
              </w:rPr>
            </w:pPr>
          </w:p>
        </w:tc>
      </w:tr>
      <w:tr w14:paraId="3F8D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14" w:type="dxa"/>
            <w:vMerge w:val="continue"/>
            <w:tcBorders>
              <w:top w:val="single" w:color="auto" w:sz="4" w:space="0"/>
              <w:bottom w:val="single" w:color="auto" w:sz="4" w:space="0"/>
            </w:tcBorders>
            <w:vAlign w:val="center"/>
          </w:tcPr>
          <w:p w14:paraId="4A433E72">
            <w:pPr>
              <w:jc w:val="center"/>
              <w:rPr>
                <w:rFonts w:ascii="仿宋" w:hAnsi="仿宋" w:eastAsia="仿宋" w:cs="仿宋"/>
                <w:b/>
                <w:color w:val="auto"/>
                <w:sz w:val="24"/>
                <w:highlight w:val="none"/>
              </w:rPr>
            </w:pPr>
          </w:p>
        </w:tc>
        <w:tc>
          <w:tcPr>
            <w:tcW w:w="6050" w:type="dxa"/>
            <w:gridSpan w:val="2"/>
            <w:tcBorders>
              <w:top w:val="single" w:color="auto" w:sz="4" w:space="0"/>
              <w:bottom w:val="single" w:color="auto" w:sz="4" w:space="0"/>
            </w:tcBorders>
            <w:shd w:val="clear" w:color="auto" w:fill="auto"/>
          </w:tcPr>
          <w:p w14:paraId="66228DA7">
            <w:pPr>
              <w:jc w:val="center"/>
              <w:rPr>
                <w:rFonts w:ascii="仿宋" w:hAnsi="仿宋" w:eastAsia="仿宋" w:cs="仿宋"/>
                <w:color w:val="auto"/>
                <w:sz w:val="24"/>
                <w:highlight w:val="none"/>
              </w:rPr>
            </w:pPr>
          </w:p>
        </w:tc>
        <w:tc>
          <w:tcPr>
            <w:tcW w:w="900" w:type="dxa"/>
            <w:tcBorders>
              <w:top w:val="single" w:color="auto" w:sz="4" w:space="0"/>
              <w:bottom w:val="single" w:color="auto" w:sz="4" w:space="0"/>
            </w:tcBorders>
          </w:tcPr>
          <w:p w14:paraId="3B0795D2">
            <w:pPr>
              <w:jc w:val="center"/>
              <w:rPr>
                <w:rFonts w:ascii="仿宋" w:hAnsi="仿宋" w:eastAsia="仿宋" w:cs="仿宋"/>
                <w:b/>
                <w:color w:val="auto"/>
                <w:sz w:val="24"/>
                <w:highlight w:val="none"/>
              </w:rPr>
            </w:pPr>
          </w:p>
        </w:tc>
        <w:tc>
          <w:tcPr>
            <w:tcW w:w="858" w:type="dxa"/>
            <w:tcBorders>
              <w:top w:val="single" w:color="auto" w:sz="4" w:space="0"/>
              <w:bottom w:val="single" w:color="auto" w:sz="4" w:space="0"/>
            </w:tcBorders>
          </w:tcPr>
          <w:p w14:paraId="135EDA18">
            <w:pPr>
              <w:jc w:val="center"/>
              <w:rPr>
                <w:rFonts w:ascii="仿宋" w:hAnsi="仿宋" w:eastAsia="仿宋" w:cs="仿宋"/>
                <w:b/>
                <w:color w:val="auto"/>
                <w:sz w:val="24"/>
                <w:highlight w:val="none"/>
              </w:rPr>
            </w:pPr>
          </w:p>
        </w:tc>
      </w:tr>
      <w:tr w14:paraId="4E2A5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vMerge w:val="restart"/>
            <w:tcBorders>
              <w:top w:val="single" w:color="auto" w:sz="4" w:space="0"/>
              <w:bottom w:val="single" w:color="auto" w:sz="4" w:space="0"/>
            </w:tcBorders>
            <w:vAlign w:val="center"/>
          </w:tcPr>
          <w:p w14:paraId="19C106AD">
            <w:pPr>
              <w:jc w:val="center"/>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综合实力部分</w:t>
            </w:r>
          </w:p>
        </w:tc>
        <w:tc>
          <w:tcPr>
            <w:tcW w:w="6050" w:type="dxa"/>
            <w:gridSpan w:val="2"/>
            <w:tcBorders>
              <w:top w:val="single" w:color="auto" w:sz="4" w:space="0"/>
              <w:bottom w:val="single" w:color="auto" w:sz="4" w:space="0"/>
            </w:tcBorders>
            <w:shd w:val="clear" w:color="auto" w:fill="auto"/>
          </w:tcPr>
          <w:p w14:paraId="4A0236B3">
            <w:pPr>
              <w:jc w:val="center"/>
              <w:rPr>
                <w:rFonts w:ascii="仿宋" w:hAnsi="仿宋" w:eastAsia="仿宋" w:cs="仿宋"/>
                <w:b/>
                <w:color w:val="auto"/>
                <w:sz w:val="24"/>
                <w:highlight w:val="none"/>
              </w:rPr>
            </w:pPr>
            <w:r>
              <w:rPr>
                <w:rFonts w:hint="eastAsia" w:ascii="仿宋" w:hAnsi="仿宋" w:eastAsia="仿宋" w:cs="仿宋"/>
                <w:color w:val="auto"/>
                <w:sz w:val="24"/>
                <w:highlight w:val="none"/>
              </w:rPr>
              <w:t>（请根据评标信息内容调整）</w:t>
            </w:r>
          </w:p>
        </w:tc>
        <w:tc>
          <w:tcPr>
            <w:tcW w:w="900" w:type="dxa"/>
            <w:tcBorders>
              <w:top w:val="single" w:color="auto" w:sz="4" w:space="0"/>
              <w:bottom w:val="single" w:color="auto" w:sz="4" w:space="0"/>
            </w:tcBorders>
          </w:tcPr>
          <w:p w14:paraId="0DFC098E">
            <w:pPr>
              <w:jc w:val="center"/>
              <w:rPr>
                <w:rFonts w:ascii="仿宋" w:hAnsi="仿宋" w:eastAsia="仿宋" w:cs="仿宋"/>
                <w:b/>
                <w:color w:val="auto"/>
                <w:sz w:val="24"/>
                <w:highlight w:val="none"/>
              </w:rPr>
            </w:pPr>
          </w:p>
        </w:tc>
        <w:tc>
          <w:tcPr>
            <w:tcW w:w="858" w:type="dxa"/>
            <w:tcBorders>
              <w:top w:val="single" w:color="auto" w:sz="4" w:space="0"/>
              <w:bottom w:val="single" w:color="auto" w:sz="4" w:space="0"/>
            </w:tcBorders>
          </w:tcPr>
          <w:p w14:paraId="233D56D8">
            <w:pPr>
              <w:jc w:val="center"/>
              <w:rPr>
                <w:rFonts w:ascii="仿宋" w:hAnsi="仿宋" w:eastAsia="仿宋" w:cs="仿宋"/>
                <w:b/>
                <w:color w:val="auto"/>
                <w:sz w:val="24"/>
                <w:highlight w:val="none"/>
              </w:rPr>
            </w:pPr>
          </w:p>
        </w:tc>
      </w:tr>
      <w:tr w14:paraId="7AF1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vMerge w:val="continue"/>
            <w:tcBorders>
              <w:top w:val="single" w:color="auto" w:sz="4" w:space="0"/>
              <w:bottom w:val="single" w:color="auto" w:sz="4" w:space="0"/>
            </w:tcBorders>
            <w:vAlign w:val="center"/>
          </w:tcPr>
          <w:p w14:paraId="089CADA5">
            <w:pPr>
              <w:jc w:val="center"/>
              <w:rPr>
                <w:rFonts w:ascii="仿宋" w:hAnsi="仿宋" w:eastAsia="仿宋" w:cs="仿宋"/>
                <w:b/>
                <w:color w:val="auto"/>
                <w:sz w:val="24"/>
                <w:highlight w:val="none"/>
              </w:rPr>
            </w:pPr>
          </w:p>
        </w:tc>
        <w:tc>
          <w:tcPr>
            <w:tcW w:w="6050" w:type="dxa"/>
            <w:gridSpan w:val="2"/>
            <w:tcBorders>
              <w:top w:val="single" w:color="auto" w:sz="4" w:space="0"/>
              <w:bottom w:val="single" w:color="auto" w:sz="4" w:space="0"/>
            </w:tcBorders>
            <w:shd w:val="clear" w:color="auto" w:fill="auto"/>
          </w:tcPr>
          <w:p w14:paraId="71FE2E5A">
            <w:pPr>
              <w:jc w:val="center"/>
              <w:rPr>
                <w:rFonts w:ascii="仿宋" w:hAnsi="仿宋" w:eastAsia="仿宋" w:cs="仿宋"/>
                <w:b/>
                <w:color w:val="auto"/>
                <w:sz w:val="24"/>
                <w:highlight w:val="none"/>
              </w:rPr>
            </w:pPr>
          </w:p>
        </w:tc>
        <w:tc>
          <w:tcPr>
            <w:tcW w:w="900" w:type="dxa"/>
            <w:tcBorders>
              <w:top w:val="single" w:color="auto" w:sz="4" w:space="0"/>
              <w:bottom w:val="single" w:color="auto" w:sz="4" w:space="0"/>
            </w:tcBorders>
          </w:tcPr>
          <w:p w14:paraId="72DC1E49">
            <w:pPr>
              <w:jc w:val="center"/>
              <w:rPr>
                <w:rFonts w:ascii="仿宋" w:hAnsi="仿宋" w:eastAsia="仿宋" w:cs="仿宋"/>
                <w:b/>
                <w:color w:val="auto"/>
                <w:sz w:val="24"/>
                <w:highlight w:val="none"/>
              </w:rPr>
            </w:pPr>
          </w:p>
        </w:tc>
        <w:tc>
          <w:tcPr>
            <w:tcW w:w="858" w:type="dxa"/>
            <w:tcBorders>
              <w:top w:val="single" w:color="auto" w:sz="4" w:space="0"/>
              <w:bottom w:val="single" w:color="auto" w:sz="4" w:space="0"/>
            </w:tcBorders>
          </w:tcPr>
          <w:p w14:paraId="168A345C">
            <w:pPr>
              <w:jc w:val="center"/>
              <w:rPr>
                <w:rFonts w:ascii="仿宋" w:hAnsi="仿宋" w:eastAsia="仿宋" w:cs="仿宋"/>
                <w:b/>
                <w:color w:val="auto"/>
                <w:sz w:val="24"/>
                <w:highlight w:val="none"/>
              </w:rPr>
            </w:pPr>
          </w:p>
        </w:tc>
      </w:tr>
      <w:tr w14:paraId="00CCE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vMerge w:val="continue"/>
            <w:tcBorders>
              <w:top w:val="single" w:color="auto" w:sz="4" w:space="0"/>
              <w:bottom w:val="single" w:color="auto" w:sz="4" w:space="0"/>
            </w:tcBorders>
            <w:vAlign w:val="center"/>
          </w:tcPr>
          <w:p w14:paraId="35C68F11">
            <w:pPr>
              <w:jc w:val="center"/>
              <w:rPr>
                <w:rFonts w:ascii="仿宋" w:hAnsi="仿宋" w:eastAsia="仿宋" w:cs="仿宋"/>
                <w:b/>
                <w:color w:val="auto"/>
                <w:sz w:val="24"/>
                <w:highlight w:val="none"/>
              </w:rPr>
            </w:pPr>
          </w:p>
        </w:tc>
        <w:tc>
          <w:tcPr>
            <w:tcW w:w="6050" w:type="dxa"/>
            <w:gridSpan w:val="2"/>
            <w:tcBorders>
              <w:top w:val="single" w:color="auto" w:sz="4" w:space="0"/>
              <w:bottom w:val="single" w:color="auto" w:sz="4" w:space="0"/>
            </w:tcBorders>
            <w:shd w:val="clear" w:color="auto" w:fill="auto"/>
          </w:tcPr>
          <w:p w14:paraId="795E22F0">
            <w:pPr>
              <w:jc w:val="center"/>
              <w:rPr>
                <w:rFonts w:ascii="仿宋" w:hAnsi="仿宋" w:eastAsia="仿宋" w:cs="仿宋"/>
                <w:b/>
                <w:color w:val="auto"/>
                <w:sz w:val="24"/>
                <w:highlight w:val="none"/>
              </w:rPr>
            </w:pPr>
          </w:p>
        </w:tc>
        <w:tc>
          <w:tcPr>
            <w:tcW w:w="900" w:type="dxa"/>
            <w:tcBorders>
              <w:top w:val="single" w:color="auto" w:sz="4" w:space="0"/>
              <w:bottom w:val="single" w:color="auto" w:sz="4" w:space="0"/>
            </w:tcBorders>
          </w:tcPr>
          <w:p w14:paraId="69F69DD9">
            <w:pPr>
              <w:jc w:val="center"/>
              <w:rPr>
                <w:rFonts w:ascii="仿宋" w:hAnsi="仿宋" w:eastAsia="仿宋" w:cs="仿宋"/>
                <w:b/>
                <w:color w:val="auto"/>
                <w:sz w:val="24"/>
                <w:highlight w:val="none"/>
              </w:rPr>
            </w:pPr>
          </w:p>
        </w:tc>
        <w:tc>
          <w:tcPr>
            <w:tcW w:w="858" w:type="dxa"/>
            <w:tcBorders>
              <w:top w:val="single" w:color="auto" w:sz="4" w:space="0"/>
              <w:bottom w:val="single" w:color="auto" w:sz="4" w:space="0"/>
            </w:tcBorders>
          </w:tcPr>
          <w:p w14:paraId="08D031CB">
            <w:pPr>
              <w:jc w:val="center"/>
              <w:rPr>
                <w:rFonts w:ascii="仿宋" w:hAnsi="仿宋" w:eastAsia="仿宋" w:cs="仿宋"/>
                <w:b/>
                <w:color w:val="auto"/>
                <w:sz w:val="24"/>
                <w:highlight w:val="none"/>
              </w:rPr>
            </w:pPr>
          </w:p>
        </w:tc>
      </w:tr>
      <w:tr w14:paraId="660F3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vMerge w:val="restart"/>
            <w:tcBorders>
              <w:top w:val="single" w:color="auto" w:sz="4" w:space="0"/>
              <w:bottom w:val="single" w:color="auto" w:sz="4" w:space="0"/>
            </w:tcBorders>
            <w:vAlign w:val="center"/>
          </w:tcPr>
          <w:p w14:paraId="6405F818">
            <w:pPr>
              <w:jc w:val="center"/>
              <w:rPr>
                <w:color w:val="auto"/>
                <w:sz w:val="24"/>
                <w:szCs w:val="32"/>
                <w:highlight w:val="none"/>
              </w:rPr>
            </w:pPr>
          </w:p>
          <w:p w14:paraId="2CA206EE">
            <w:pPr>
              <w:pStyle w:val="2"/>
              <w:rPr>
                <w:color w:val="auto"/>
                <w:sz w:val="24"/>
                <w:szCs w:val="32"/>
                <w:highlight w:val="none"/>
              </w:rPr>
            </w:pPr>
          </w:p>
          <w:p w14:paraId="3A796844">
            <w:pPr>
              <w:rPr>
                <w:color w:val="auto"/>
                <w:sz w:val="24"/>
                <w:szCs w:val="32"/>
                <w:highlight w:val="none"/>
              </w:rPr>
            </w:pPr>
          </w:p>
        </w:tc>
        <w:tc>
          <w:tcPr>
            <w:tcW w:w="6050" w:type="dxa"/>
            <w:gridSpan w:val="2"/>
            <w:tcBorders>
              <w:top w:val="single" w:color="auto" w:sz="4" w:space="0"/>
              <w:bottom w:val="single" w:color="auto" w:sz="4" w:space="0"/>
            </w:tcBorders>
            <w:shd w:val="clear" w:color="auto" w:fill="auto"/>
          </w:tcPr>
          <w:p w14:paraId="24858D36">
            <w:pPr>
              <w:jc w:val="center"/>
              <w:rPr>
                <w:rFonts w:ascii="仿宋" w:hAnsi="仿宋" w:eastAsia="仿宋" w:cs="仿宋"/>
                <w:b/>
                <w:color w:val="auto"/>
                <w:sz w:val="24"/>
                <w:highlight w:val="none"/>
              </w:rPr>
            </w:pPr>
          </w:p>
        </w:tc>
        <w:tc>
          <w:tcPr>
            <w:tcW w:w="900" w:type="dxa"/>
            <w:tcBorders>
              <w:top w:val="single" w:color="auto" w:sz="4" w:space="0"/>
              <w:bottom w:val="single" w:color="auto" w:sz="4" w:space="0"/>
            </w:tcBorders>
          </w:tcPr>
          <w:p w14:paraId="0A6E7A82">
            <w:pPr>
              <w:jc w:val="center"/>
              <w:rPr>
                <w:rFonts w:ascii="仿宋" w:hAnsi="仿宋" w:eastAsia="仿宋" w:cs="仿宋"/>
                <w:b/>
                <w:color w:val="auto"/>
                <w:sz w:val="24"/>
                <w:highlight w:val="none"/>
              </w:rPr>
            </w:pPr>
          </w:p>
        </w:tc>
        <w:tc>
          <w:tcPr>
            <w:tcW w:w="858" w:type="dxa"/>
            <w:tcBorders>
              <w:top w:val="single" w:color="auto" w:sz="4" w:space="0"/>
              <w:bottom w:val="single" w:color="auto" w:sz="4" w:space="0"/>
            </w:tcBorders>
          </w:tcPr>
          <w:p w14:paraId="1F00D6BF">
            <w:pPr>
              <w:jc w:val="center"/>
              <w:rPr>
                <w:rFonts w:ascii="仿宋" w:hAnsi="仿宋" w:eastAsia="仿宋" w:cs="仿宋"/>
                <w:b/>
                <w:color w:val="auto"/>
                <w:sz w:val="24"/>
                <w:highlight w:val="none"/>
              </w:rPr>
            </w:pPr>
          </w:p>
        </w:tc>
      </w:tr>
      <w:tr w14:paraId="6E70E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vMerge w:val="continue"/>
            <w:tcBorders>
              <w:top w:val="single" w:color="auto" w:sz="4" w:space="0"/>
            </w:tcBorders>
            <w:vAlign w:val="center"/>
          </w:tcPr>
          <w:p w14:paraId="506C687D">
            <w:pPr>
              <w:jc w:val="center"/>
              <w:rPr>
                <w:rFonts w:ascii="仿宋" w:hAnsi="仿宋" w:eastAsia="仿宋" w:cs="仿宋"/>
                <w:b/>
                <w:color w:val="auto"/>
                <w:sz w:val="24"/>
                <w:highlight w:val="none"/>
              </w:rPr>
            </w:pPr>
          </w:p>
        </w:tc>
        <w:tc>
          <w:tcPr>
            <w:tcW w:w="6050" w:type="dxa"/>
            <w:gridSpan w:val="2"/>
            <w:tcBorders>
              <w:top w:val="single" w:color="auto" w:sz="4" w:space="0"/>
            </w:tcBorders>
            <w:shd w:val="clear" w:color="auto" w:fill="auto"/>
          </w:tcPr>
          <w:p w14:paraId="17194D76">
            <w:pPr>
              <w:jc w:val="center"/>
              <w:rPr>
                <w:rFonts w:ascii="仿宋" w:hAnsi="仿宋" w:eastAsia="仿宋" w:cs="仿宋"/>
                <w:b/>
                <w:color w:val="auto"/>
                <w:sz w:val="24"/>
                <w:highlight w:val="none"/>
              </w:rPr>
            </w:pPr>
          </w:p>
        </w:tc>
        <w:tc>
          <w:tcPr>
            <w:tcW w:w="900" w:type="dxa"/>
            <w:tcBorders>
              <w:top w:val="single" w:color="auto" w:sz="4" w:space="0"/>
            </w:tcBorders>
          </w:tcPr>
          <w:p w14:paraId="7F1FB93C">
            <w:pPr>
              <w:jc w:val="center"/>
              <w:rPr>
                <w:rFonts w:ascii="仿宋" w:hAnsi="仿宋" w:eastAsia="仿宋" w:cs="仿宋"/>
                <w:b/>
                <w:color w:val="auto"/>
                <w:sz w:val="24"/>
                <w:highlight w:val="none"/>
              </w:rPr>
            </w:pPr>
          </w:p>
        </w:tc>
        <w:tc>
          <w:tcPr>
            <w:tcW w:w="858" w:type="dxa"/>
            <w:tcBorders>
              <w:top w:val="single" w:color="auto" w:sz="4" w:space="0"/>
            </w:tcBorders>
          </w:tcPr>
          <w:p w14:paraId="5CE20DA1">
            <w:pPr>
              <w:jc w:val="center"/>
              <w:rPr>
                <w:rFonts w:ascii="仿宋" w:hAnsi="仿宋" w:eastAsia="仿宋" w:cs="仿宋"/>
                <w:b/>
                <w:color w:val="auto"/>
                <w:sz w:val="24"/>
                <w:highlight w:val="none"/>
              </w:rPr>
            </w:pPr>
          </w:p>
        </w:tc>
      </w:tr>
    </w:tbl>
    <w:p w14:paraId="6D229476">
      <w:pPr>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w:t>
      </w:r>
    </w:p>
    <w:p w14:paraId="1C9CE252">
      <w:pPr>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1.对于</w:t>
      </w:r>
      <w:r>
        <w:rPr>
          <w:rFonts w:hint="eastAsia" w:ascii="仿宋" w:hAnsi="仿宋" w:eastAsia="仿宋" w:cs="仿宋"/>
          <w:b/>
          <w:bCs/>
          <w:color w:val="auto"/>
          <w:sz w:val="24"/>
          <w:highlight w:val="none"/>
        </w:rPr>
        <w:t>“投标人自查情况”</w:t>
      </w:r>
      <w:r>
        <w:rPr>
          <w:rFonts w:hint="eastAsia" w:ascii="仿宋" w:hAnsi="仿宋" w:eastAsia="仿宋" w:cs="仿宋"/>
          <w:color w:val="auto"/>
          <w:sz w:val="24"/>
          <w:highlight w:val="none"/>
        </w:rPr>
        <w:t>，请投标人根据检查项目认真自查，并参照示例填写“存在/不存在”，</w:t>
      </w:r>
      <w:r>
        <w:rPr>
          <w:rFonts w:hint="eastAsia" w:ascii="仿宋" w:hAnsi="仿宋" w:eastAsia="仿宋" w:cs="仿宋"/>
          <w:b/>
          <w:color w:val="auto"/>
          <w:sz w:val="24"/>
          <w:highlight w:val="none"/>
        </w:rPr>
        <w:t>如填写“存在”将可能导致投标人</w:t>
      </w:r>
      <w:r>
        <w:rPr>
          <w:rFonts w:hint="eastAsia" w:ascii="仿宋" w:hAnsi="仿宋" w:eastAsia="仿宋" w:cs="仿宋"/>
          <w:b/>
          <w:bCs/>
          <w:color w:val="auto"/>
          <w:sz w:val="24"/>
          <w:highlight w:val="none"/>
        </w:rPr>
        <w:t>符合性审查不通过</w:t>
      </w:r>
      <w:r>
        <w:rPr>
          <w:rFonts w:hint="eastAsia" w:ascii="仿宋" w:hAnsi="仿宋" w:eastAsia="仿宋" w:cs="仿宋"/>
          <w:color w:val="auto"/>
          <w:sz w:val="24"/>
          <w:highlight w:val="none"/>
        </w:rPr>
        <w:t>；</w:t>
      </w:r>
    </w:p>
    <w:p w14:paraId="51D9158E">
      <w:pPr>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2.对于“</w:t>
      </w:r>
      <w:r>
        <w:rPr>
          <w:rFonts w:hint="eastAsia" w:ascii="仿宋" w:hAnsi="仿宋" w:eastAsia="仿宋" w:cs="仿宋"/>
          <w:b/>
          <w:color w:val="auto"/>
          <w:sz w:val="24"/>
          <w:highlight w:val="none"/>
        </w:rPr>
        <w:t>综合评分指引”</w:t>
      </w:r>
      <w:r>
        <w:rPr>
          <w:rFonts w:hint="eastAsia" w:ascii="仿宋" w:hAnsi="仿宋" w:eastAsia="仿宋" w:cs="仿宋"/>
          <w:color w:val="auto"/>
          <w:sz w:val="24"/>
          <w:highlight w:val="none"/>
        </w:rPr>
        <w:t>请投标人按照第二册第二章的</w:t>
      </w:r>
      <w:r>
        <w:rPr>
          <w:rFonts w:hint="eastAsia" w:ascii="仿宋" w:hAnsi="仿宋" w:eastAsia="仿宋" w:cs="仿宋"/>
          <w:b/>
          <w:color w:val="auto"/>
          <w:sz w:val="24"/>
          <w:highlight w:val="none"/>
        </w:rPr>
        <w:t>《评标信息》</w:t>
      </w:r>
      <w:r>
        <w:rPr>
          <w:rFonts w:hint="eastAsia" w:ascii="仿宋" w:hAnsi="仿宋" w:eastAsia="仿宋" w:cs="仿宋"/>
          <w:color w:val="auto"/>
          <w:sz w:val="24"/>
          <w:highlight w:val="none"/>
        </w:rPr>
        <w:t>的评分要求，根据各评分项目以</w:t>
      </w:r>
      <w:r>
        <w:rPr>
          <w:rFonts w:hint="eastAsia" w:ascii="仿宋" w:hAnsi="仿宋" w:eastAsia="仿宋" w:cs="仿宋"/>
          <w:b/>
          <w:color w:val="auto"/>
          <w:sz w:val="24"/>
          <w:highlight w:val="none"/>
        </w:rPr>
        <w:t>自上而下</w:t>
      </w:r>
      <w:r>
        <w:rPr>
          <w:rFonts w:hint="eastAsia" w:ascii="仿宋" w:hAnsi="仿宋" w:eastAsia="仿宋" w:cs="仿宋"/>
          <w:color w:val="auto"/>
          <w:sz w:val="24"/>
          <w:highlight w:val="none"/>
        </w:rPr>
        <w:t>的顺序编制。因项目次序混乱而影响评标效率及评标结果者，投标人自负其责。</w:t>
      </w:r>
    </w:p>
    <w:p w14:paraId="138436AE">
      <w:pPr>
        <w:pStyle w:val="6"/>
        <w:pageBreakBefore/>
        <w:spacing w:before="0" w:line="377" w:lineRule="auto"/>
        <w:jc w:val="center"/>
        <w:rPr>
          <w:rFonts w:hint="eastAsia" w:ascii="宋体" w:hAnsi="宋体" w:eastAsia="黑体"/>
          <w:b w:val="0"/>
          <w:color w:val="auto"/>
          <w:sz w:val="36"/>
          <w:highlight w:val="none"/>
          <w:lang w:eastAsia="zh-CN"/>
        </w:rPr>
      </w:pPr>
      <w:r>
        <w:rPr>
          <w:rFonts w:hint="eastAsia" w:ascii="宋体" w:hAnsi="宋体"/>
          <w:b w:val="0"/>
          <w:color w:val="auto"/>
          <w:sz w:val="36"/>
          <w:highlight w:val="none"/>
        </w:rPr>
        <w:t>二、</w:t>
      </w:r>
      <w:r>
        <w:rPr>
          <w:rFonts w:hint="eastAsia" w:ascii="宋体" w:hAnsi="宋体"/>
          <w:b w:val="0"/>
          <w:color w:val="auto"/>
          <w:sz w:val="36"/>
          <w:highlight w:val="none"/>
          <w:lang w:eastAsia="zh-CN"/>
        </w:rPr>
        <w:t>报价一览表</w:t>
      </w:r>
    </w:p>
    <w:p w14:paraId="79CCAB6F">
      <w:pPr>
        <w:pStyle w:val="5"/>
        <w:keepNext/>
        <w:keepLines/>
        <w:jc w:val="center"/>
        <w:outlineLvl w:val="2"/>
        <w:rPr>
          <w:rFonts w:hint="eastAsia" w:ascii="黑体" w:eastAsia="黑体"/>
          <w:b w:val="0"/>
          <w:color w:val="auto"/>
          <w:highlight w:val="none"/>
          <w:lang w:eastAsia="zh-CN"/>
        </w:rPr>
      </w:pPr>
      <w:bookmarkStart w:id="501" w:name="_Toc27338"/>
      <w:bookmarkStart w:id="502" w:name="_Toc21463"/>
      <w:bookmarkStart w:id="503" w:name="_Toc31277"/>
      <w:r>
        <w:rPr>
          <w:rFonts w:hint="eastAsia" w:ascii="黑体"/>
          <w:b w:val="0"/>
          <w:color w:val="auto"/>
          <w:highlight w:val="none"/>
          <w:lang w:eastAsia="zh-CN"/>
        </w:rPr>
        <w:t>报价一览表</w:t>
      </w:r>
      <w:bookmarkEnd w:id="501"/>
      <w:bookmarkEnd w:id="502"/>
      <w:bookmarkEnd w:id="503"/>
    </w:p>
    <w:p w14:paraId="5876635B">
      <w:pPr>
        <w:spacing w:line="240" w:lineRule="auto"/>
        <w:ind w:firstLine="422" w:firstLineChars="200"/>
        <w:rPr>
          <w:rFonts w:hint="eastAsia" w:ascii="仿宋" w:hAnsi="仿宋" w:eastAsia="仿宋" w:cs="仿宋"/>
          <w:b/>
          <w:bCs w:val="0"/>
          <w:snapToGrid w:val="0"/>
          <w:color w:val="auto"/>
          <w:kern w:val="0"/>
          <w:sz w:val="21"/>
          <w:highlight w:val="none"/>
        </w:rPr>
      </w:pPr>
      <w:r>
        <w:rPr>
          <w:rFonts w:hint="eastAsia" w:ascii="仿宋" w:hAnsi="仿宋" w:eastAsia="仿宋" w:cs="仿宋"/>
          <w:b/>
          <w:bCs w:val="0"/>
          <w:snapToGrid w:val="0"/>
          <w:color w:val="auto"/>
          <w:kern w:val="0"/>
          <w:sz w:val="21"/>
          <w:highlight w:val="none"/>
        </w:rPr>
        <w:t>根据你方采购项目的</w:t>
      </w:r>
      <w:r>
        <w:rPr>
          <w:rFonts w:hint="eastAsia" w:ascii="仿宋" w:hAnsi="仿宋" w:eastAsia="仿宋" w:cs="仿宋"/>
          <w:b/>
          <w:bCs w:val="0"/>
          <w:snapToGrid w:val="0"/>
          <w:color w:val="auto"/>
          <w:kern w:val="0"/>
          <w:sz w:val="21"/>
          <w:highlight w:val="none"/>
          <w:lang w:eastAsia="zh-CN"/>
        </w:rPr>
        <w:t>招标</w:t>
      </w:r>
      <w:r>
        <w:rPr>
          <w:rFonts w:hint="eastAsia" w:ascii="仿宋" w:hAnsi="仿宋" w:eastAsia="仿宋" w:cs="仿宋"/>
          <w:b/>
          <w:bCs w:val="0"/>
          <w:snapToGrid w:val="0"/>
          <w:color w:val="auto"/>
          <w:kern w:val="0"/>
          <w:sz w:val="21"/>
          <w:highlight w:val="none"/>
        </w:rPr>
        <w:t>文件，经研究</w:t>
      </w:r>
      <w:r>
        <w:rPr>
          <w:rFonts w:hint="eastAsia" w:ascii="仿宋" w:hAnsi="仿宋" w:eastAsia="仿宋" w:cs="仿宋"/>
          <w:b/>
          <w:bCs w:val="0"/>
          <w:snapToGrid w:val="0"/>
          <w:color w:val="auto"/>
          <w:kern w:val="0"/>
          <w:sz w:val="21"/>
          <w:highlight w:val="none"/>
          <w:lang w:eastAsia="zh-CN"/>
        </w:rPr>
        <w:t>招标</w:t>
      </w:r>
      <w:r>
        <w:rPr>
          <w:rFonts w:hint="eastAsia" w:ascii="仿宋" w:hAnsi="仿宋" w:eastAsia="仿宋" w:cs="仿宋"/>
          <w:b/>
          <w:bCs w:val="0"/>
          <w:snapToGrid w:val="0"/>
          <w:color w:val="auto"/>
          <w:kern w:val="0"/>
          <w:sz w:val="21"/>
          <w:highlight w:val="none"/>
        </w:rPr>
        <w:t>文件及其他有关文件后，决定完全接受</w:t>
      </w:r>
      <w:r>
        <w:rPr>
          <w:rFonts w:hint="eastAsia" w:ascii="仿宋" w:hAnsi="仿宋" w:eastAsia="仿宋" w:cs="仿宋"/>
          <w:b/>
          <w:bCs w:val="0"/>
          <w:snapToGrid w:val="0"/>
          <w:color w:val="auto"/>
          <w:kern w:val="0"/>
          <w:sz w:val="21"/>
          <w:highlight w:val="none"/>
          <w:lang w:eastAsia="zh-CN"/>
        </w:rPr>
        <w:t>招标</w:t>
      </w:r>
      <w:r>
        <w:rPr>
          <w:rFonts w:hint="eastAsia" w:ascii="仿宋" w:hAnsi="仿宋" w:eastAsia="仿宋" w:cs="仿宋"/>
          <w:b/>
          <w:bCs w:val="0"/>
          <w:snapToGrid w:val="0"/>
          <w:color w:val="auto"/>
          <w:kern w:val="0"/>
          <w:sz w:val="21"/>
          <w:highlight w:val="none"/>
        </w:rPr>
        <w:t>文件各项内容，进行投标并承诺报价如下：</w:t>
      </w:r>
    </w:p>
    <w:tbl>
      <w:tblPr>
        <w:tblStyle w:val="44"/>
        <w:tblW w:w="8844" w:type="dxa"/>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4320"/>
        <w:gridCol w:w="2409"/>
        <w:gridCol w:w="1327"/>
        <w:gridCol w:w="788"/>
      </w:tblGrid>
      <w:tr w14:paraId="210790C2">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828" w:hRule="atLeast"/>
        </w:trPr>
        <w:tc>
          <w:tcPr>
            <w:tcW w:w="4320" w:type="dxa"/>
            <w:tcBorders>
              <w:top w:val="single" w:color="auto" w:sz="4" w:space="0"/>
              <w:left w:val="single" w:color="auto" w:sz="4" w:space="0"/>
              <w:bottom w:val="single" w:color="auto" w:sz="4" w:space="0"/>
              <w:right w:val="single" w:color="auto" w:sz="4" w:space="0"/>
            </w:tcBorders>
            <w:vAlign w:val="center"/>
          </w:tcPr>
          <w:p w14:paraId="33F819A7">
            <w:pPr>
              <w:spacing w:line="240" w:lineRule="auto"/>
              <w:ind w:firstLine="0" w:firstLineChars="0"/>
              <w:jc w:val="center"/>
              <w:rPr>
                <w:rFonts w:hint="eastAsia" w:ascii="仿宋" w:hAnsi="仿宋" w:eastAsia="仿宋" w:cs="仿宋"/>
                <w:bCs/>
                <w:snapToGrid w:val="0"/>
                <w:color w:val="auto"/>
                <w:kern w:val="0"/>
                <w:szCs w:val="24"/>
                <w:highlight w:val="none"/>
              </w:rPr>
            </w:pPr>
            <w:r>
              <w:rPr>
                <w:rFonts w:hint="eastAsia" w:ascii="仿宋" w:hAnsi="仿宋" w:eastAsia="仿宋" w:cs="仿宋"/>
                <w:bCs/>
                <w:snapToGrid w:val="0"/>
                <w:color w:val="auto"/>
                <w:kern w:val="0"/>
                <w:szCs w:val="24"/>
                <w:highlight w:val="none"/>
              </w:rPr>
              <w:t>项目名称</w:t>
            </w:r>
          </w:p>
        </w:tc>
        <w:tc>
          <w:tcPr>
            <w:tcW w:w="2409" w:type="dxa"/>
            <w:tcBorders>
              <w:top w:val="single" w:color="auto" w:sz="4" w:space="0"/>
              <w:left w:val="single" w:color="auto" w:sz="4" w:space="0"/>
              <w:bottom w:val="single" w:color="auto" w:sz="4" w:space="0"/>
              <w:right w:val="single" w:color="auto" w:sz="4" w:space="0"/>
            </w:tcBorders>
            <w:vAlign w:val="center"/>
          </w:tcPr>
          <w:p w14:paraId="6B34BCDC">
            <w:pPr>
              <w:spacing w:line="240" w:lineRule="auto"/>
              <w:ind w:firstLine="0" w:firstLineChars="0"/>
              <w:jc w:val="center"/>
              <w:rPr>
                <w:rFonts w:hint="eastAsia" w:ascii="仿宋" w:hAnsi="仿宋" w:eastAsia="仿宋" w:cs="仿宋"/>
                <w:bCs/>
                <w:snapToGrid w:val="0"/>
                <w:color w:val="auto"/>
                <w:kern w:val="0"/>
                <w:szCs w:val="24"/>
                <w:highlight w:val="none"/>
              </w:rPr>
            </w:pPr>
            <w:r>
              <w:rPr>
                <w:rFonts w:hint="eastAsia" w:ascii="仿宋" w:hAnsi="仿宋" w:eastAsia="仿宋" w:cs="仿宋"/>
                <w:bCs/>
                <w:snapToGrid w:val="0"/>
                <w:color w:val="auto"/>
                <w:kern w:val="0"/>
                <w:szCs w:val="24"/>
                <w:highlight w:val="none"/>
              </w:rPr>
              <w:t>投标报价</w:t>
            </w:r>
          </w:p>
        </w:tc>
        <w:tc>
          <w:tcPr>
            <w:tcW w:w="1327" w:type="dxa"/>
            <w:tcBorders>
              <w:top w:val="single" w:color="auto" w:sz="4" w:space="0"/>
              <w:left w:val="single" w:color="auto" w:sz="4" w:space="0"/>
              <w:bottom w:val="single" w:color="auto" w:sz="4" w:space="0"/>
              <w:right w:val="single" w:color="auto" w:sz="4" w:space="0"/>
            </w:tcBorders>
            <w:vAlign w:val="center"/>
          </w:tcPr>
          <w:p w14:paraId="103F9CD2">
            <w:pPr>
              <w:spacing w:line="240" w:lineRule="auto"/>
              <w:ind w:firstLine="0" w:firstLineChars="0"/>
              <w:jc w:val="center"/>
              <w:rPr>
                <w:rFonts w:hint="eastAsia" w:ascii="仿宋" w:hAnsi="仿宋" w:eastAsia="仿宋" w:cs="仿宋"/>
                <w:bCs/>
                <w:snapToGrid w:val="0"/>
                <w:color w:val="auto"/>
                <w:kern w:val="0"/>
                <w:szCs w:val="24"/>
                <w:highlight w:val="none"/>
              </w:rPr>
            </w:pPr>
            <w:r>
              <w:rPr>
                <w:rFonts w:hint="eastAsia" w:ascii="仿宋" w:hAnsi="仿宋" w:eastAsia="仿宋" w:cs="仿宋"/>
                <w:bCs/>
                <w:snapToGrid w:val="0"/>
                <w:color w:val="auto"/>
                <w:kern w:val="0"/>
                <w:szCs w:val="24"/>
                <w:highlight w:val="none"/>
              </w:rPr>
              <w:t>增值税率</w:t>
            </w:r>
          </w:p>
        </w:tc>
        <w:tc>
          <w:tcPr>
            <w:tcW w:w="788" w:type="dxa"/>
            <w:tcBorders>
              <w:top w:val="single" w:color="auto" w:sz="4" w:space="0"/>
              <w:left w:val="single" w:color="auto" w:sz="4" w:space="0"/>
              <w:bottom w:val="single" w:color="auto" w:sz="4" w:space="0"/>
              <w:right w:val="single" w:color="auto" w:sz="4" w:space="0"/>
            </w:tcBorders>
            <w:vAlign w:val="center"/>
          </w:tcPr>
          <w:p w14:paraId="5FA7C97D">
            <w:pPr>
              <w:spacing w:line="240" w:lineRule="auto"/>
              <w:ind w:firstLine="0" w:firstLineChars="0"/>
              <w:jc w:val="center"/>
              <w:rPr>
                <w:rFonts w:hint="eastAsia" w:ascii="仿宋" w:hAnsi="仿宋" w:eastAsia="仿宋" w:cs="仿宋"/>
                <w:bCs/>
                <w:snapToGrid w:val="0"/>
                <w:color w:val="auto"/>
                <w:kern w:val="0"/>
                <w:szCs w:val="24"/>
                <w:highlight w:val="none"/>
              </w:rPr>
            </w:pPr>
            <w:r>
              <w:rPr>
                <w:rFonts w:hint="eastAsia" w:ascii="仿宋" w:hAnsi="仿宋" w:eastAsia="仿宋" w:cs="仿宋"/>
                <w:bCs/>
                <w:snapToGrid w:val="0"/>
                <w:color w:val="auto"/>
                <w:kern w:val="0"/>
                <w:szCs w:val="24"/>
                <w:highlight w:val="none"/>
              </w:rPr>
              <w:t>备注</w:t>
            </w:r>
          </w:p>
        </w:tc>
      </w:tr>
      <w:tr w14:paraId="56DDDBA2">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700" w:hRule="atLeast"/>
        </w:trPr>
        <w:tc>
          <w:tcPr>
            <w:tcW w:w="4320" w:type="dxa"/>
            <w:tcBorders>
              <w:top w:val="single" w:color="auto" w:sz="4" w:space="0"/>
              <w:left w:val="single" w:color="auto" w:sz="4" w:space="0"/>
              <w:bottom w:val="single" w:color="auto" w:sz="4" w:space="0"/>
              <w:right w:val="single" w:color="auto" w:sz="4" w:space="0"/>
            </w:tcBorders>
            <w:vAlign w:val="center"/>
          </w:tcPr>
          <w:p w14:paraId="7FDDD382">
            <w:pPr>
              <w:spacing w:line="240" w:lineRule="auto"/>
              <w:jc w:val="center"/>
              <w:rPr>
                <w:rFonts w:hint="eastAsia" w:ascii="仿宋" w:hAnsi="仿宋" w:eastAsia="仿宋" w:cs="仿宋"/>
                <w:bCs/>
                <w:snapToGrid w:val="0"/>
                <w:color w:val="auto"/>
                <w:kern w:val="0"/>
                <w:szCs w:val="24"/>
                <w:highlight w:val="none"/>
                <w:lang w:eastAsia="zh-CN"/>
              </w:rPr>
            </w:pPr>
            <w:r>
              <w:rPr>
                <w:rFonts w:hint="eastAsia" w:ascii="仿宋" w:hAnsi="仿宋" w:eastAsia="仿宋" w:cs="仿宋"/>
                <w:bCs/>
                <w:snapToGrid w:val="0"/>
                <w:color w:val="auto"/>
                <w:kern w:val="0"/>
                <w:szCs w:val="24"/>
                <w:highlight w:val="none"/>
                <w:lang w:eastAsia="zh-CN"/>
              </w:rPr>
              <w:t>2025-2026年日常养护项目交通安全设施专业分包采购</w:t>
            </w:r>
          </w:p>
        </w:tc>
        <w:tc>
          <w:tcPr>
            <w:tcW w:w="2409" w:type="dxa"/>
            <w:tcBorders>
              <w:top w:val="single" w:color="auto" w:sz="4" w:space="0"/>
              <w:left w:val="single" w:color="auto" w:sz="4" w:space="0"/>
              <w:bottom w:val="single" w:color="auto" w:sz="4" w:space="0"/>
              <w:right w:val="single" w:color="auto" w:sz="4" w:space="0"/>
            </w:tcBorders>
            <w:vAlign w:val="center"/>
          </w:tcPr>
          <w:p w14:paraId="0D961BF0">
            <w:pPr>
              <w:spacing w:line="240" w:lineRule="auto"/>
              <w:ind w:firstLine="0" w:firstLineChars="0"/>
              <w:jc w:val="center"/>
              <w:rPr>
                <w:rFonts w:hint="eastAsia" w:ascii="仿宋" w:hAnsi="仿宋" w:eastAsia="仿宋" w:cs="仿宋"/>
                <w:bCs/>
                <w:snapToGrid w:val="0"/>
                <w:color w:val="auto"/>
                <w:kern w:val="0"/>
                <w:szCs w:val="24"/>
                <w:highlight w:val="none"/>
              </w:rPr>
            </w:pPr>
          </w:p>
        </w:tc>
        <w:tc>
          <w:tcPr>
            <w:tcW w:w="1327" w:type="dxa"/>
            <w:tcBorders>
              <w:top w:val="single" w:color="auto" w:sz="4" w:space="0"/>
              <w:left w:val="single" w:color="auto" w:sz="4" w:space="0"/>
              <w:bottom w:val="single" w:color="auto" w:sz="4" w:space="0"/>
              <w:right w:val="single" w:color="auto" w:sz="4" w:space="0"/>
            </w:tcBorders>
            <w:vAlign w:val="center"/>
          </w:tcPr>
          <w:p w14:paraId="14517BD1">
            <w:pPr>
              <w:spacing w:line="240" w:lineRule="auto"/>
              <w:ind w:firstLine="0" w:firstLineChars="0"/>
              <w:jc w:val="center"/>
              <w:rPr>
                <w:rFonts w:hint="eastAsia" w:ascii="仿宋" w:hAnsi="仿宋" w:eastAsia="仿宋" w:cs="仿宋"/>
                <w:bCs/>
                <w:snapToGrid w:val="0"/>
                <w:color w:val="auto"/>
                <w:kern w:val="0"/>
                <w:szCs w:val="24"/>
                <w:highlight w:val="none"/>
              </w:rPr>
            </w:pPr>
            <w:r>
              <w:rPr>
                <w:rFonts w:hint="eastAsia" w:ascii="仿宋" w:hAnsi="仿宋" w:eastAsia="仿宋" w:cs="仿宋"/>
                <w:bCs/>
                <w:snapToGrid w:val="0"/>
                <w:color w:val="auto"/>
                <w:kern w:val="0"/>
                <w:szCs w:val="24"/>
                <w:highlight w:val="none"/>
              </w:rPr>
              <w:t>%</w:t>
            </w:r>
          </w:p>
        </w:tc>
        <w:tc>
          <w:tcPr>
            <w:tcW w:w="788" w:type="dxa"/>
            <w:tcBorders>
              <w:top w:val="single" w:color="auto" w:sz="4" w:space="0"/>
              <w:left w:val="single" w:color="auto" w:sz="4" w:space="0"/>
              <w:bottom w:val="single" w:color="auto" w:sz="4" w:space="0"/>
              <w:right w:val="single" w:color="auto" w:sz="4" w:space="0"/>
            </w:tcBorders>
            <w:vAlign w:val="center"/>
          </w:tcPr>
          <w:p w14:paraId="122438BE">
            <w:pPr>
              <w:spacing w:line="240" w:lineRule="auto"/>
              <w:jc w:val="center"/>
              <w:rPr>
                <w:rFonts w:hint="eastAsia" w:ascii="仿宋" w:hAnsi="仿宋" w:eastAsia="仿宋" w:cs="仿宋"/>
                <w:bCs/>
                <w:snapToGrid w:val="0"/>
                <w:color w:val="auto"/>
                <w:kern w:val="0"/>
                <w:szCs w:val="24"/>
                <w:highlight w:val="none"/>
              </w:rPr>
            </w:pPr>
          </w:p>
        </w:tc>
      </w:tr>
    </w:tbl>
    <w:p w14:paraId="101CF454">
      <w:pPr>
        <w:spacing w:line="360" w:lineRule="auto"/>
        <w:ind w:firstLine="480" w:firstLineChars="200"/>
        <w:rPr>
          <w:rFonts w:ascii="黑体" w:hAnsi="黑体" w:eastAsia="黑体" w:cs="黑体"/>
          <w:color w:val="auto"/>
          <w:sz w:val="24"/>
          <w:highlight w:val="none"/>
        </w:rPr>
      </w:pPr>
      <w:r>
        <w:rPr>
          <w:rFonts w:hint="eastAsia" w:ascii="黑体" w:hAnsi="黑体" w:eastAsia="黑体" w:cs="黑体"/>
          <w:color w:val="auto"/>
          <w:sz w:val="24"/>
          <w:highlight w:val="none"/>
        </w:rPr>
        <w:t>说明：</w:t>
      </w:r>
    </w:p>
    <w:p w14:paraId="72B02900">
      <w:pPr>
        <w:spacing w:line="240" w:lineRule="auto"/>
        <w:ind w:left="0" w:leftChars="0" w:firstLine="420" w:firstLineChars="200"/>
        <w:jc w:val="left"/>
        <w:rPr>
          <w:rFonts w:hint="eastAsia" w:ascii="仿宋" w:hAnsi="仿宋" w:eastAsia="仿宋" w:cs="仿宋"/>
          <w:b w:val="0"/>
          <w:bCs/>
          <w:snapToGrid w:val="0"/>
          <w:color w:val="auto"/>
          <w:kern w:val="0"/>
          <w:szCs w:val="24"/>
          <w:highlight w:val="none"/>
          <w:lang w:val="en-US" w:eastAsia="zh-CN"/>
        </w:rPr>
      </w:pPr>
      <w:r>
        <w:rPr>
          <w:rFonts w:hint="eastAsia" w:ascii="仿宋" w:hAnsi="仿宋" w:eastAsia="仿宋" w:cs="仿宋"/>
          <w:b w:val="0"/>
          <w:bCs/>
          <w:snapToGrid w:val="0"/>
          <w:color w:val="auto"/>
          <w:kern w:val="0"/>
          <w:szCs w:val="24"/>
          <w:highlight w:val="none"/>
          <w:lang w:val="en-US" w:eastAsia="zh-CN"/>
        </w:rPr>
        <w:t>1.</w:t>
      </w:r>
      <w:r>
        <w:rPr>
          <w:rFonts w:hint="eastAsia" w:ascii="仿宋" w:hAnsi="仿宋" w:eastAsia="仿宋" w:cs="仿宋"/>
          <w:b w:val="0"/>
          <w:bCs/>
          <w:snapToGrid w:val="0"/>
          <w:color w:val="auto"/>
          <w:kern w:val="0"/>
          <w:szCs w:val="24"/>
          <w:highlight w:val="none"/>
        </w:rPr>
        <w:t>投标人</w:t>
      </w:r>
      <w:r>
        <w:rPr>
          <w:rFonts w:hint="eastAsia" w:ascii="仿宋" w:hAnsi="仿宋" w:eastAsia="仿宋" w:cs="仿宋"/>
          <w:b w:val="0"/>
          <w:bCs/>
          <w:snapToGrid w:val="0"/>
          <w:color w:val="auto"/>
          <w:kern w:val="0"/>
          <w:szCs w:val="24"/>
          <w:highlight w:val="none"/>
          <w:lang w:val="en-US" w:eastAsia="zh-CN"/>
        </w:rPr>
        <w:t>同意</w:t>
      </w:r>
      <w:r>
        <w:rPr>
          <w:rFonts w:hint="eastAsia" w:ascii="仿宋" w:hAnsi="仿宋" w:eastAsia="仿宋" w:cs="仿宋"/>
          <w:bCs/>
          <w:snapToGrid w:val="0"/>
          <w:color w:val="auto"/>
          <w:kern w:val="0"/>
          <w:sz w:val="21"/>
          <w:highlight w:val="none"/>
          <w:lang w:val="en-US" w:eastAsia="zh-CN"/>
        </w:rPr>
        <w:t>以综合得分排名前二名的</w:t>
      </w:r>
      <w:r>
        <w:rPr>
          <w:rFonts w:hint="eastAsia" w:ascii="仿宋" w:hAnsi="仿宋" w:eastAsia="仿宋" w:cs="仿宋"/>
          <w:bCs/>
          <w:snapToGrid w:val="0"/>
          <w:color w:val="auto"/>
          <w:kern w:val="0"/>
          <w:sz w:val="21"/>
          <w:highlight w:val="none"/>
        </w:rPr>
        <w:t>中标</w:t>
      </w:r>
      <w:r>
        <w:rPr>
          <w:rFonts w:hint="eastAsia" w:ascii="仿宋" w:hAnsi="仿宋" w:eastAsia="仿宋" w:cs="仿宋"/>
          <w:bCs/>
          <w:snapToGrid w:val="0"/>
          <w:color w:val="auto"/>
          <w:kern w:val="0"/>
          <w:sz w:val="21"/>
          <w:highlight w:val="none"/>
          <w:lang w:val="en-US" w:eastAsia="zh-CN"/>
        </w:rPr>
        <w:t>候选人</w:t>
      </w:r>
      <w:r>
        <w:rPr>
          <w:rFonts w:hint="eastAsia" w:ascii="仿宋" w:hAnsi="仿宋" w:eastAsia="仿宋" w:cs="仿宋"/>
          <w:bCs/>
          <w:snapToGrid w:val="0"/>
          <w:color w:val="auto"/>
          <w:kern w:val="0"/>
          <w:sz w:val="21"/>
          <w:highlight w:val="none"/>
        </w:rPr>
        <w:t>的评审报价的</w:t>
      </w:r>
      <w:r>
        <w:rPr>
          <w:rFonts w:hint="eastAsia" w:ascii="仿宋" w:hAnsi="仿宋" w:eastAsia="仿宋" w:cs="仿宋"/>
          <w:bCs/>
          <w:snapToGrid w:val="0"/>
          <w:color w:val="auto"/>
          <w:kern w:val="0"/>
          <w:sz w:val="21"/>
          <w:highlight w:val="none"/>
          <w:lang w:val="en-US" w:eastAsia="zh-CN"/>
        </w:rPr>
        <w:t>算术</w:t>
      </w:r>
      <w:r>
        <w:rPr>
          <w:rFonts w:hint="eastAsia" w:ascii="仿宋" w:hAnsi="仿宋" w:eastAsia="仿宋" w:cs="仿宋"/>
          <w:bCs/>
          <w:snapToGrid w:val="0"/>
          <w:color w:val="auto"/>
          <w:kern w:val="0"/>
          <w:sz w:val="21"/>
          <w:highlight w:val="none"/>
        </w:rPr>
        <w:t>平均值</w:t>
      </w:r>
      <w:r>
        <w:rPr>
          <w:rFonts w:hint="eastAsia" w:ascii="仿宋" w:hAnsi="仿宋" w:eastAsia="仿宋" w:cs="仿宋"/>
          <w:bCs/>
          <w:snapToGrid w:val="0"/>
          <w:color w:val="auto"/>
          <w:kern w:val="0"/>
          <w:sz w:val="21"/>
          <w:highlight w:val="none"/>
          <w:lang w:val="en-US" w:eastAsia="zh-CN"/>
        </w:rPr>
        <w:t>为中标价。</w:t>
      </w:r>
    </w:p>
    <w:p w14:paraId="659C0CE3">
      <w:pPr>
        <w:widowControl/>
        <w:numPr>
          <w:ilvl w:val="-1"/>
          <w:numId w:val="0"/>
        </w:numPr>
        <w:spacing w:after="0" w:line="240" w:lineRule="auto"/>
        <w:ind w:left="0" w:firstLine="420" w:firstLineChars="200"/>
        <w:jc w:val="left"/>
        <w:rPr>
          <w:rFonts w:hint="eastAsia" w:ascii="仿宋" w:hAnsi="仿宋" w:eastAsia="仿宋" w:cs="仿宋"/>
          <w:bCs/>
          <w:snapToGrid w:val="0"/>
          <w:color w:val="auto"/>
          <w:kern w:val="0"/>
          <w:sz w:val="21"/>
          <w:highlight w:val="none"/>
        </w:rPr>
      </w:pPr>
      <w:r>
        <w:rPr>
          <w:rFonts w:hint="eastAsia" w:ascii="仿宋" w:hAnsi="仿宋" w:eastAsia="仿宋" w:cs="仿宋"/>
          <w:b w:val="0"/>
          <w:bCs/>
          <w:snapToGrid w:val="0"/>
          <w:color w:val="auto"/>
          <w:kern w:val="0"/>
          <w:szCs w:val="24"/>
          <w:highlight w:val="none"/>
          <w:lang w:val="en-US" w:eastAsia="zh-CN"/>
        </w:rPr>
        <w:t>2.</w:t>
      </w:r>
      <w:r>
        <w:rPr>
          <w:rFonts w:hint="eastAsia" w:ascii="仿宋" w:hAnsi="仿宋" w:eastAsia="仿宋" w:cs="仿宋"/>
          <w:bCs/>
          <w:snapToGrid w:val="0"/>
          <w:color w:val="auto"/>
          <w:kern w:val="0"/>
          <w:sz w:val="21"/>
          <w:highlight w:val="none"/>
        </w:rPr>
        <w:t>本项目采用固定综合单价计价方式，该综合单价包括但不限于为实施和完成工程项目所需的劳务、材料、机械、质检（自检）、安装、缺陷修复、管理、利润、保险、措施费（含交通疏解费）、规费、税金等一切费用，以及合同明示或暗示的所有责任、义务和一切风险，且合同期内不予调整。</w:t>
      </w:r>
    </w:p>
    <w:p w14:paraId="03AE7E14">
      <w:pPr>
        <w:widowControl/>
        <w:numPr>
          <w:ilvl w:val="-1"/>
          <w:numId w:val="0"/>
        </w:numPr>
        <w:spacing w:after="0" w:line="240" w:lineRule="auto"/>
        <w:ind w:left="0" w:firstLine="420" w:firstLineChars="200"/>
        <w:jc w:val="left"/>
        <w:rPr>
          <w:rFonts w:hint="eastAsia" w:ascii="仿宋" w:hAnsi="仿宋" w:eastAsia="仿宋" w:cs="仿宋"/>
          <w:bCs/>
          <w:snapToGrid w:val="0"/>
          <w:color w:val="auto"/>
          <w:kern w:val="0"/>
          <w:sz w:val="21"/>
          <w:szCs w:val="24"/>
          <w:highlight w:val="none"/>
        </w:rPr>
      </w:pPr>
      <w:r>
        <w:rPr>
          <w:rFonts w:hint="eastAsia" w:ascii="仿宋" w:hAnsi="仿宋" w:eastAsia="仿宋" w:cs="仿宋"/>
          <w:bCs/>
          <w:snapToGrid w:val="0"/>
          <w:color w:val="auto"/>
          <w:kern w:val="0"/>
          <w:sz w:val="21"/>
          <w:highlight w:val="none"/>
          <w:lang w:val="en-US" w:eastAsia="zh-CN"/>
        </w:rPr>
        <w:t>3.</w:t>
      </w:r>
      <w:r>
        <w:rPr>
          <w:rFonts w:hint="eastAsia" w:ascii="仿宋" w:hAnsi="仿宋" w:eastAsia="仿宋" w:cs="仿宋"/>
          <w:bCs/>
          <w:snapToGrid w:val="0"/>
          <w:color w:val="auto"/>
          <w:kern w:val="0"/>
          <w:sz w:val="21"/>
          <w:highlight w:val="none"/>
        </w:rPr>
        <w:t>本项目为专业分包，投标单位须自行处理实施过程中涉及与相关政府职能部门、项目技术咨询服务单位、业主单位沟通协调，费用已包含在投标报价内。</w:t>
      </w:r>
    </w:p>
    <w:p w14:paraId="04130E64">
      <w:pPr>
        <w:widowControl/>
        <w:numPr>
          <w:ilvl w:val="-1"/>
          <w:numId w:val="0"/>
        </w:numPr>
        <w:spacing w:line="240" w:lineRule="auto"/>
        <w:ind w:left="0" w:firstLine="420" w:firstLineChars="200"/>
        <w:jc w:val="left"/>
        <w:rPr>
          <w:rFonts w:hint="eastAsia" w:ascii="仿宋" w:hAnsi="仿宋" w:eastAsia="仿宋" w:cs="仿宋"/>
          <w:bCs/>
          <w:snapToGrid w:val="0"/>
          <w:color w:val="auto"/>
          <w:kern w:val="0"/>
          <w:sz w:val="21"/>
          <w:szCs w:val="24"/>
          <w:highlight w:val="none"/>
          <w:lang w:val="en-US" w:eastAsia="zh-CN" w:bidi="ar-SA"/>
        </w:rPr>
      </w:pPr>
      <w:r>
        <w:rPr>
          <w:rFonts w:hint="eastAsia" w:ascii="仿宋" w:hAnsi="仿宋" w:eastAsia="仿宋" w:cs="仿宋"/>
          <w:bCs/>
          <w:snapToGrid w:val="0"/>
          <w:color w:val="auto"/>
          <w:kern w:val="0"/>
          <w:sz w:val="21"/>
          <w:szCs w:val="24"/>
          <w:highlight w:val="none"/>
          <w:lang w:val="en-US" w:eastAsia="zh-CN" w:bidi="ar-SA"/>
        </w:rPr>
        <w:t>4.投标人应充分考虑本工程特点及其它的风险因素，依据本工程招标文件的具体要求，并对本工程进行详细了解，根据本企业自身情况，充分考虑各影响因素后进行报价。</w:t>
      </w:r>
    </w:p>
    <w:p w14:paraId="2AEEF592">
      <w:pPr>
        <w:widowControl/>
        <w:numPr>
          <w:ilvl w:val="-1"/>
          <w:numId w:val="0"/>
        </w:numPr>
        <w:spacing w:line="240" w:lineRule="auto"/>
        <w:ind w:left="0" w:firstLine="420" w:firstLineChars="200"/>
        <w:jc w:val="left"/>
        <w:rPr>
          <w:rFonts w:hint="eastAsia" w:ascii="仿宋" w:hAnsi="仿宋" w:eastAsia="仿宋" w:cs="仿宋"/>
          <w:bCs/>
          <w:snapToGrid w:val="0"/>
          <w:color w:val="auto"/>
          <w:kern w:val="0"/>
          <w:sz w:val="21"/>
          <w:szCs w:val="24"/>
          <w:highlight w:val="none"/>
          <w:lang w:val="en-US" w:eastAsia="zh-CN" w:bidi="ar-SA"/>
        </w:rPr>
      </w:pPr>
      <w:r>
        <w:rPr>
          <w:rFonts w:hint="eastAsia" w:ascii="仿宋" w:hAnsi="仿宋" w:eastAsia="仿宋" w:cs="仿宋"/>
          <w:bCs/>
          <w:snapToGrid w:val="0"/>
          <w:color w:val="auto"/>
          <w:kern w:val="0"/>
          <w:sz w:val="21"/>
          <w:szCs w:val="24"/>
          <w:highlight w:val="none"/>
          <w:lang w:val="en-US" w:eastAsia="zh-CN" w:bidi="ar-SA"/>
        </w:rPr>
        <w:t>5.投标人应充分考虑市场价格波动风险，本项目合同履约期间不接受调价。</w:t>
      </w:r>
    </w:p>
    <w:p w14:paraId="43E2CDDF">
      <w:pPr>
        <w:widowControl/>
        <w:numPr>
          <w:ilvl w:val="-1"/>
          <w:numId w:val="0"/>
        </w:numPr>
        <w:spacing w:line="240" w:lineRule="auto"/>
        <w:ind w:left="0" w:firstLine="420" w:firstLineChars="200"/>
        <w:jc w:val="left"/>
        <w:rPr>
          <w:rFonts w:hint="eastAsia" w:ascii="仿宋" w:hAnsi="仿宋" w:eastAsia="仿宋" w:cs="仿宋"/>
          <w:bCs/>
          <w:snapToGrid w:val="0"/>
          <w:color w:val="auto"/>
          <w:kern w:val="0"/>
          <w:sz w:val="21"/>
          <w:szCs w:val="24"/>
          <w:highlight w:val="none"/>
          <w:lang w:val="en-US" w:eastAsia="zh-CN" w:bidi="ar-SA"/>
        </w:rPr>
      </w:pPr>
      <w:r>
        <w:rPr>
          <w:rFonts w:hint="eastAsia" w:ascii="仿宋" w:hAnsi="仿宋" w:eastAsia="仿宋" w:cs="仿宋"/>
          <w:bCs/>
          <w:snapToGrid w:val="0"/>
          <w:color w:val="auto"/>
          <w:kern w:val="0"/>
          <w:sz w:val="21"/>
          <w:szCs w:val="24"/>
          <w:highlight w:val="none"/>
          <w:lang w:val="en-US" w:eastAsia="zh-CN" w:bidi="ar-SA"/>
        </w:rPr>
        <w:t>6.投标人不得以低于成本的报价竞标；评标委员会认为投标人的报价明显低于其他通过符合性审查投标人的报价，有可能影响服务质量或者不能诚信履约的，应当要求其在合理的时间内提供书面说明，必要时提交相关证明材料，投标人不能证明其报价合理性的，评标委员会应当将其作为无效投标处理。</w:t>
      </w:r>
    </w:p>
    <w:p w14:paraId="5142BC12">
      <w:pPr>
        <w:widowControl/>
        <w:numPr>
          <w:ilvl w:val="-1"/>
          <w:numId w:val="0"/>
        </w:numPr>
        <w:spacing w:after="0" w:line="240" w:lineRule="auto"/>
        <w:ind w:left="0" w:firstLine="420" w:firstLineChars="200"/>
        <w:jc w:val="left"/>
        <w:rPr>
          <w:rFonts w:hint="eastAsia" w:ascii="仿宋" w:hAnsi="仿宋" w:eastAsia="仿宋" w:cs="仿宋"/>
          <w:bCs/>
          <w:snapToGrid w:val="0"/>
          <w:color w:val="auto"/>
          <w:kern w:val="0"/>
          <w:sz w:val="21"/>
          <w:highlight w:val="none"/>
        </w:rPr>
      </w:pPr>
      <w:r>
        <w:rPr>
          <w:rFonts w:hint="eastAsia" w:ascii="仿宋" w:hAnsi="仿宋" w:eastAsia="仿宋" w:cs="仿宋"/>
          <w:bCs/>
          <w:snapToGrid w:val="0"/>
          <w:color w:val="auto"/>
          <w:kern w:val="0"/>
          <w:sz w:val="21"/>
          <w:highlight w:val="none"/>
          <w:lang w:val="en-US" w:eastAsia="zh-CN"/>
        </w:rPr>
        <w:t>7.</w:t>
      </w:r>
      <w:r>
        <w:rPr>
          <w:rFonts w:hint="eastAsia" w:ascii="仿宋" w:hAnsi="仿宋" w:eastAsia="仿宋" w:cs="仿宋"/>
          <w:bCs/>
          <w:snapToGrid w:val="0"/>
          <w:color w:val="auto"/>
          <w:kern w:val="0"/>
          <w:sz w:val="21"/>
          <w:highlight w:val="none"/>
        </w:rPr>
        <w:t>投标人必须同时填报“投标报价”和“增值税率”（投标报价=1-投标下浮率）。“投标报价”和“增值税率”缺填、漏填、错填一项及以上的，将直接作投标无效处理；</w:t>
      </w:r>
    </w:p>
    <w:p w14:paraId="742F6602">
      <w:pPr>
        <w:widowControl/>
        <w:numPr>
          <w:ilvl w:val="-1"/>
          <w:numId w:val="0"/>
        </w:numPr>
        <w:spacing w:after="0" w:line="240" w:lineRule="auto"/>
        <w:ind w:left="0" w:firstLine="420" w:firstLineChars="200"/>
        <w:jc w:val="left"/>
        <w:rPr>
          <w:rFonts w:hint="eastAsia" w:ascii="仿宋" w:hAnsi="仿宋" w:eastAsia="仿宋" w:cs="仿宋"/>
          <w:bCs/>
          <w:snapToGrid w:val="0"/>
          <w:color w:val="auto"/>
          <w:kern w:val="0"/>
          <w:sz w:val="21"/>
          <w:highlight w:val="none"/>
        </w:rPr>
      </w:pPr>
      <w:r>
        <w:rPr>
          <w:rFonts w:hint="eastAsia" w:ascii="仿宋" w:hAnsi="仿宋" w:eastAsia="仿宋" w:cs="仿宋"/>
          <w:bCs/>
          <w:snapToGrid w:val="0"/>
          <w:color w:val="auto"/>
          <w:kern w:val="0"/>
          <w:sz w:val="21"/>
          <w:highlight w:val="none"/>
          <w:lang w:val="en-US" w:eastAsia="zh-CN"/>
        </w:rPr>
        <w:t>8.</w:t>
      </w:r>
      <w:r>
        <w:rPr>
          <w:rFonts w:hint="eastAsia" w:ascii="仿宋" w:hAnsi="仿宋" w:eastAsia="仿宋" w:cs="仿宋"/>
          <w:bCs/>
          <w:snapToGrid w:val="0"/>
          <w:color w:val="auto"/>
          <w:kern w:val="0"/>
          <w:sz w:val="21"/>
          <w:highlight w:val="none"/>
        </w:rPr>
        <w:t>投标报价为1-投标下浮率，例如：投标人的下浮率为30%，那么投标报价=1-投标下浮率（30%）=0.700；填写的投标报价应为三位小数，若不足三位小数，默认后面不足部分为零，例如0.690、0.691等；</w:t>
      </w:r>
    </w:p>
    <w:p w14:paraId="2BB7E58B">
      <w:pPr>
        <w:widowControl/>
        <w:numPr>
          <w:ilvl w:val="0"/>
          <w:numId w:val="0"/>
        </w:numPr>
        <w:ind w:firstLine="420" w:firstLineChars="200"/>
        <w:jc w:val="left"/>
        <w:rPr>
          <w:rFonts w:hint="eastAsia" w:ascii="仿宋" w:hAnsi="仿宋" w:eastAsia="仿宋" w:cs="仿宋"/>
          <w:b w:val="0"/>
          <w:bCs/>
          <w:snapToGrid w:val="0"/>
          <w:color w:val="auto"/>
          <w:kern w:val="0"/>
          <w:szCs w:val="24"/>
          <w:highlight w:val="none"/>
        </w:rPr>
      </w:pPr>
      <w:r>
        <w:rPr>
          <w:rFonts w:hint="eastAsia" w:ascii="仿宋" w:hAnsi="仿宋" w:eastAsia="仿宋" w:cs="仿宋"/>
          <w:bCs/>
          <w:snapToGrid w:val="0"/>
          <w:color w:val="auto"/>
          <w:kern w:val="0"/>
          <w:sz w:val="21"/>
          <w:szCs w:val="24"/>
          <w:highlight w:val="none"/>
          <w:lang w:val="en-US" w:eastAsia="zh-CN" w:bidi="ar-SA"/>
        </w:rPr>
        <w:t>9.增值税率填写要求：在%前填写整数；投标人参与投标只允许填报唯一1个“投标报价”和1个“增值税率”，填报了2个或以上“投标报价”和“增值税率”的，其投标将直接作投标无效处理。</w:t>
      </w:r>
    </w:p>
    <w:p w14:paraId="5920BE79">
      <w:pPr>
        <w:spacing w:beforeLines="0"/>
        <w:ind w:firstLine="422" w:firstLineChars="200"/>
        <w:rPr>
          <w:rFonts w:ascii="仿宋" w:hAnsi="仿宋" w:eastAsia="仿宋" w:cs="仿宋"/>
          <w:b/>
          <w:snapToGrid w:val="0"/>
          <w:color w:val="auto"/>
          <w:kern w:val="0"/>
          <w:highlight w:val="none"/>
        </w:rPr>
      </w:pPr>
      <w:r>
        <w:rPr>
          <w:rFonts w:hint="eastAsia" w:ascii="仿宋" w:hAnsi="仿宋" w:eastAsia="仿宋" w:cs="仿宋"/>
          <w:b/>
          <w:bCs/>
          <w:color w:val="000000" w:themeColor="text1"/>
          <w:szCs w:val="21"/>
          <w:highlight w:val="none"/>
          <w:lang w:val="en-US" w:eastAsia="zh-CN"/>
          <w14:textFill>
            <w14:solidFill>
              <w14:schemeClr w14:val="tx1"/>
            </w14:solidFill>
          </w14:textFill>
        </w:rPr>
        <w:t>10</w:t>
      </w:r>
      <w:r>
        <w:rPr>
          <w:rFonts w:hint="eastAsia" w:ascii="仿宋" w:hAnsi="仿宋" w:eastAsia="仿宋" w:cs="仿宋"/>
          <w:b/>
          <w:bCs/>
          <w:snapToGrid w:val="0"/>
          <w:color w:val="auto"/>
          <w:kern w:val="0"/>
          <w:highlight w:val="none"/>
        </w:rPr>
        <w:t>.</w:t>
      </w:r>
      <w:r>
        <w:rPr>
          <w:rFonts w:hint="eastAsia" w:ascii="仿宋" w:hAnsi="仿宋" w:eastAsia="仿宋" w:cs="仿宋"/>
          <w:b/>
          <w:snapToGrid w:val="0"/>
          <w:color w:val="auto"/>
          <w:kern w:val="0"/>
          <w:highlight w:val="none"/>
        </w:rPr>
        <w:t>《</w:t>
      </w:r>
      <w:r>
        <w:rPr>
          <w:rFonts w:hint="eastAsia" w:ascii="仿宋" w:hAnsi="仿宋" w:eastAsia="仿宋" w:cs="仿宋"/>
          <w:b/>
          <w:snapToGrid w:val="0"/>
          <w:color w:val="auto"/>
          <w:kern w:val="0"/>
          <w:highlight w:val="none"/>
          <w:lang w:eastAsia="zh-CN"/>
        </w:rPr>
        <w:t>报价一览表</w:t>
      </w:r>
      <w:r>
        <w:rPr>
          <w:rFonts w:hint="eastAsia" w:ascii="仿宋" w:hAnsi="仿宋" w:eastAsia="仿宋" w:cs="仿宋"/>
          <w:b/>
          <w:snapToGrid w:val="0"/>
          <w:color w:val="auto"/>
          <w:kern w:val="0"/>
          <w:highlight w:val="none"/>
        </w:rPr>
        <w:t>》作为开标时唱标的依据，除按格式要求放入投标文件中外，还应另行单独密封提交一份，在封口密封处加盖公章（或密封封口处粘贴封条并加盖投标单位公章），并在信封上标明“</w:t>
      </w:r>
      <w:r>
        <w:rPr>
          <w:rFonts w:hint="eastAsia" w:ascii="仿宋" w:hAnsi="仿宋" w:eastAsia="仿宋" w:cs="仿宋"/>
          <w:b/>
          <w:snapToGrid w:val="0"/>
          <w:color w:val="auto"/>
          <w:kern w:val="0"/>
          <w:highlight w:val="none"/>
          <w:lang w:eastAsia="zh-CN"/>
        </w:rPr>
        <w:t>报价一览表</w:t>
      </w:r>
      <w:r>
        <w:rPr>
          <w:rFonts w:hint="eastAsia" w:ascii="仿宋" w:hAnsi="仿宋" w:eastAsia="仿宋" w:cs="仿宋"/>
          <w:b/>
          <w:snapToGrid w:val="0"/>
          <w:color w:val="auto"/>
          <w:kern w:val="0"/>
          <w:highlight w:val="none"/>
        </w:rPr>
        <w:t>”字样。</w:t>
      </w:r>
    </w:p>
    <w:p w14:paraId="5E4AE373">
      <w:pPr>
        <w:ind w:firstLine="422" w:firstLineChars="200"/>
        <w:rPr>
          <w:rFonts w:ascii="仿宋" w:hAnsi="仿宋" w:eastAsia="仿宋" w:cs="仿宋"/>
          <w:b/>
          <w:snapToGrid w:val="0"/>
          <w:color w:val="auto"/>
          <w:kern w:val="0"/>
          <w:highlight w:val="none"/>
        </w:rPr>
      </w:pPr>
      <w:r>
        <w:rPr>
          <w:rFonts w:hint="eastAsia" w:ascii="仿宋" w:hAnsi="仿宋" w:eastAsia="仿宋" w:cs="仿宋"/>
          <w:b/>
          <w:snapToGrid w:val="0"/>
          <w:color w:val="auto"/>
          <w:kern w:val="0"/>
          <w:highlight w:val="none"/>
          <w:lang w:val="en-US" w:eastAsia="zh-CN"/>
        </w:rPr>
        <w:t>11</w:t>
      </w:r>
      <w:r>
        <w:rPr>
          <w:rFonts w:hint="eastAsia" w:ascii="仿宋" w:hAnsi="仿宋" w:eastAsia="仿宋" w:cs="仿宋"/>
          <w:b/>
          <w:snapToGrid w:val="0"/>
          <w:color w:val="auto"/>
          <w:kern w:val="0"/>
          <w:highlight w:val="none"/>
        </w:rPr>
        <w:t>.《</w:t>
      </w:r>
      <w:r>
        <w:rPr>
          <w:rFonts w:hint="eastAsia" w:ascii="仿宋" w:hAnsi="仿宋" w:eastAsia="仿宋" w:cs="仿宋"/>
          <w:b/>
          <w:snapToGrid w:val="0"/>
          <w:color w:val="auto"/>
          <w:kern w:val="0"/>
          <w:highlight w:val="none"/>
          <w:lang w:eastAsia="zh-CN"/>
        </w:rPr>
        <w:t>报价一览表</w:t>
      </w:r>
      <w:r>
        <w:rPr>
          <w:rFonts w:hint="eastAsia" w:ascii="仿宋" w:hAnsi="仿宋" w:eastAsia="仿宋" w:cs="仿宋"/>
          <w:b/>
          <w:snapToGrid w:val="0"/>
          <w:color w:val="auto"/>
          <w:kern w:val="0"/>
          <w:highlight w:val="none"/>
        </w:rPr>
        <w:t>》未按招标文件规定签字、盖章、密封的，将导致废标。</w:t>
      </w:r>
    </w:p>
    <w:p w14:paraId="22D8E758">
      <w:pPr>
        <w:ind w:firstLine="3150" w:firstLineChars="1500"/>
        <w:jc w:val="left"/>
        <w:rPr>
          <w:rFonts w:ascii="仿宋" w:hAnsi="仿宋" w:eastAsia="仿宋" w:cs="仿宋"/>
          <w:color w:val="auto"/>
          <w:highlight w:val="none"/>
        </w:rPr>
      </w:pPr>
      <w:r>
        <w:rPr>
          <w:rFonts w:hint="eastAsia" w:ascii="仿宋" w:hAnsi="仿宋" w:eastAsia="仿宋" w:cs="仿宋"/>
          <w:color w:val="auto"/>
          <w:highlight w:val="none"/>
        </w:rPr>
        <w:t>法定代表人或其授权委托人（</w:t>
      </w:r>
      <w:r>
        <w:rPr>
          <w:rFonts w:hint="eastAsia" w:ascii="仿宋" w:hAnsi="仿宋" w:eastAsia="仿宋" w:cs="仿宋"/>
          <w:b/>
          <w:color w:val="FF0000"/>
          <w:highlight w:val="none"/>
        </w:rPr>
        <w:t>签名或盖私章</w:t>
      </w:r>
      <w:r>
        <w:rPr>
          <w:rFonts w:hint="eastAsia" w:ascii="仿宋" w:hAnsi="仿宋" w:eastAsia="仿宋" w:cs="仿宋"/>
          <w:color w:val="auto"/>
          <w:highlight w:val="none"/>
        </w:rPr>
        <w:t>）：</w:t>
      </w:r>
    </w:p>
    <w:p w14:paraId="01195457">
      <w:pPr>
        <w:ind w:firstLine="3150" w:firstLineChars="1500"/>
        <w:jc w:val="left"/>
        <w:rPr>
          <w:rFonts w:ascii="仿宋" w:hAnsi="仿宋" w:eastAsia="仿宋" w:cs="仿宋"/>
          <w:color w:val="auto"/>
          <w:highlight w:val="none"/>
        </w:rPr>
      </w:pPr>
      <w:r>
        <w:rPr>
          <w:rFonts w:hint="eastAsia" w:ascii="仿宋" w:hAnsi="仿宋" w:eastAsia="仿宋" w:cs="仿宋"/>
          <w:color w:val="auto"/>
          <w:highlight w:val="none"/>
        </w:rPr>
        <w:t>投标单位（</w:t>
      </w:r>
      <w:r>
        <w:rPr>
          <w:rFonts w:hint="eastAsia" w:ascii="仿宋" w:hAnsi="仿宋" w:eastAsia="仿宋" w:cs="仿宋"/>
          <w:b/>
          <w:color w:val="FF0000"/>
          <w:highlight w:val="none"/>
        </w:rPr>
        <w:t>盖公章</w:t>
      </w:r>
      <w:r>
        <w:rPr>
          <w:rFonts w:hint="eastAsia" w:ascii="仿宋" w:hAnsi="仿宋" w:eastAsia="仿宋" w:cs="仿宋"/>
          <w:color w:val="auto"/>
          <w:highlight w:val="none"/>
        </w:rPr>
        <w:t>）：</w:t>
      </w:r>
    </w:p>
    <w:p w14:paraId="726E0CDC">
      <w:pPr>
        <w:ind w:firstLine="3150" w:firstLineChars="1500"/>
        <w:jc w:val="left"/>
        <w:rPr>
          <w:rFonts w:hint="eastAsia" w:ascii="仿宋" w:hAnsi="仿宋" w:eastAsia="仿宋" w:cs="仿宋"/>
          <w:color w:val="auto"/>
          <w:highlight w:val="none"/>
        </w:rPr>
      </w:pPr>
      <w:r>
        <w:rPr>
          <w:rFonts w:hint="eastAsia" w:ascii="仿宋" w:hAnsi="仿宋" w:eastAsia="仿宋" w:cs="仿宋"/>
          <w:color w:val="auto"/>
          <w:highlight w:val="none"/>
        </w:rPr>
        <w:t>日期：    年  月  日</w:t>
      </w:r>
    </w:p>
    <w:p w14:paraId="613A46BC">
      <w:pPr>
        <w:rPr>
          <w:rFonts w:hint="eastAsia" w:ascii="仿宋" w:hAnsi="仿宋" w:eastAsia="仿宋" w:cs="仿宋"/>
          <w:color w:val="auto"/>
          <w:highlight w:val="none"/>
        </w:rPr>
      </w:pPr>
      <w:bookmarkStart w:id="504" w:name="_Toc124"/>
      <w:r>
        <w:rPr>
          <w:rFonts w:hint="eastAsia" w:ascii="仿宋" w:hAnsi="仿宋" w:eastAsia="仿宋" w:cs="仿宋"/>
          <w:color w:val="auto"/>
          <w:highlight w:val="none"/>
        </w:rPr>
        <w:br w:type="page"/>
      </w:r>
    </w:p>
    <w:p w14:paraId="207BB2AD">
      <w:pPr>
        <w:pStyle w:val="6"/>
        <w:pageBreakBefore/>
        <w:spacing w:before="0" w:line="377" w:lineRule="auto"/>
        <w:ind w:left="58" w:firstLine="720"/>
        <w:jc w:val="center"/>
        <w:rPr>
          <w:color w:val="auto"/>
          <w:highlight w:val="none"/>
        </w:rPr>
      </w:pPr>
      <w:r>
        <w:rPr>
          <w:rFonts w:hint="eastAsia" w:ascii="宋体" w:hAnsi="宋体"/>
          <w:b w:val="0"/>
          <w:color w:val="auto"/>
          <w:sz w:val="36"/>
          <w:highlight w:val="none"/>
        </w:rPr>
        <w:t>三、投标函及承诺函</w:t>
      </w:r>
      <w:bookmarkEnd w:id="504"/>
    </w:p>
    <w:p w14:paraId="238F1904">
      <w:pPr>
        <w:pStyle w:val="7"/>
        <w:ind w:left="45" w:firstLine="560"/>
        <w:jc w:val="center"/>
        <w:rPr>
          <w:rFonts w:ascii="方正小标宋简体" w:hAnsi="方正小标宋简体" w:eastAsia="方正小标宋简体" w:cs="方正小标宋简体"/>
          <w:b w:val="0"/>
          <w:bCs w:val="0"/>
          <w:color w:val="auto"/>
          <w:highlight w:val="none"/>
        </w:rPr>
      </w:pPr>
      <w:r>
        <w:rPr>
          <w:rFonts w:hint="eastAsia" w:ascii="方正小标宋简体" w:hAnsi="方正小标宋简体" w:eastAsia="方正小标宋简体" w:cs="方正小标宋简体"/>
          <w:b w:val="0"/>
          <w:bCs w:val="0"/>
          <w:color w:val="auto"/>
          <w:highlight w:val="none"/>
        </w:rPr>
        <w:t>（一）投标函</w:t>
      </w:r>
    </w:p>
    <w:p w14:paraId="15473344">
      <w:pPr>
        <w:ind w:left="0" w:firstLine="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致：深圳市长筑路桥工程有限公司</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深圳市宝安区建设工程监理有限公司</w:t>
      </w:r>
      <w:r>
        <w:rPr>
          <w:rFonts w:hint="eastAsia" w:ascii="仿宋" w:hAnsi="仿宋" w:eastAsia="仿宋" w:cs="仿宋"/>
          <w:color w:val="auto"/>
          <w:sz w:val="24"/>
          <w:highlight w:val="none"/>
          <w:lang w:eastAsia="zh-CN"/>
        </w:rPr>
        <w:t>：</w:t>
      </w:r>
    </w:p>
    <w:p w14:paraId="1E1DC90B">
      <w:pPr>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根据贵方发布的</w:t>
      </w:r>
      <w:r>
        <w:rPr>
          <w:rFonts w:hint="eastAsia" w:ascii="仿宋" w:hAnsi="仿宋" w:eastAsia="仿宋" w:cs="仿宋"/>
          <w:color w:val="auto"/>
          <w:sz w:val="24"/>
          <w:highlight w:val="none"/>
          <w:u w:val="single"/>
        </w:rPr>
        <w:t xml:space="preserve">                     （项目名称）</w:t>
      </w:r>
      <w:r>
        <w:rPr>
          <w:rFonts w:hint="eastAsia" w:ascii="仿宋" w:hAnsi="仿宋" w:eastAsia="仿宋" w:cs="仿宋"/>
          <w:color w:val="auto"/>
          <w:sz w:val="24"/>
          <w:highlight w:val="none"/>
        </w:rPr>
        <w:t>的招标公告</w:t>
      </w:r>
      <w:r>
        <w:rPr>
          <w:rFonts w:hint="eastAsia" w:ascii="仿宋" w:hAnsi="仿宋" w:eastAsia="仿宋" w:cs="仿宋"/>
          <w:color w:val="auto"/>
          <w:sz w:val="24"/>
          <w:highlight w:val="none"/>
          <w:u w:val="single"/>
        </w:rPr>
        <w:t>（项目编号为      ）</w:t>
      </w:r>
      <w:r>
        <w:rPr>
          <w:rFonts w:hint="eastAsia" w:ascii="仿宋" w:hAnsi="仿宋" w:eastAsia="仿宋" w:cs="仿宋"/>
          <w:color w:val="auto"/>
          <w:sz w:val="24"/>
          <w:highlight w:val="none"/>
        </w:rPr>
        <w:t>，本人经我方法定代表人授权正式代表投标人（投标人的名称     ），提交下述投标文件（含正本1份，副本</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份，唱标所用的《报价一览表》1份，电子版文件1份）。</w:t>
      </w:r>
    </w:p>
    <w:p w14:paraId="3EEF0E9A">
      <w:pPr>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据此函，本人代表投标方保证，所提供的全部资料是真实的。本人承诺：</w:t>
      </w:r>
    </w:p>
    <w:p w14:paraId="5FDEB918">
      <w:pPr>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（1）我方愿以报价一览表中的投标报价并按招标文件要求承包上述项目并修补其任何缺陷；</w:t>
      </w:r>
    </w:p>
    <w:p w14:paraId="0F35DA5C">
      <w:pPr>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（2）我们会根据招标文件的规定，完成合同的责任和义务。</w:t>
      </w:r>
    </w:p>
    <w:p w14:paraId="585ACB6C">
      <w:pPr>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（3）我们已详细审核了全部招标文件，包括招标文件修改书（如有），参考资料及有关附件，我们完全理解并同意放弃对这方面有不清楚或误解的问题的权利。</w:t>
      </w:r>
    </w:p>
    <w:p w14:paraId="55C999E9">
      <w:pPr>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（4）我们同意在第一册第20条规定的开标日期起遵循本投标文件，并在第一册第15条规定的投标有效期满之前均具有约束力，并有可能中标。</w:t>
      </w:r>
    </w:p>
    <w:p w14:paraId="4981825B">
      <w:pPr>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（5）如果在开标后规定的投标有效期内撤回投标或在中标后放弃中标，我们的投标保证金将被贵方没收。</w:t>
      </w:r>
    </w:p>
    <w:p w14:paraId="46BD3FE7">
      <w:pPr>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（6）同意向贵方提供贵方可能要求的与本投标有关的任何证据或资料。</w:t>
      </w:r>
    </w:p>
    <w:p w14:paraId="5A6239D2">
      <w:pPr>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（7）我们完全理解贵方不一定要接受最低报价的投标或收到的任何投标。</w:t>
      </w:r>
    </w:p>
    <w:p w14:paraId="52AD2C78">
      <w:pPr>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（8）我方为本投标和中标后的合同实施要付给招标代理机构的招标代理服务费如下：</w:t>
      </w:r>
    </w:p>
    <w:p w14:paraId="465D9C40">
      <w:pPr>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招标代理机构的名称：深圳市宝安区建设工程监理有限公司</w:t>
      </w:r>
    </w:p>
    <w:p w14:paraId="53CFEB7D">
      <w:pPr>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招标代理服务费：按第一册第</w:t>
      </w:r>
      <w:r>
        <w:rPr>
          <w:rFonts w:hint="eastAsia" w:ascii="仿宋" w:hAnsi="仿宋" w:eastAsia="仿宋" w:cs="仿宋"/>
          <w:color w:val="auto"/>
          <w:sz w:val="24"/>
          <w:highlight w:val="none"/>
          <w:lang w:val="en-US" w:eastAsia="zh-CN"/>
        </w:rPr>
        <w:t>38</w:t>
      </w:r>
      <w:r>
        <w:rPr>
          <w:rFonts w:hint="eastAsia" w:ascii="仿宋" w:hAnsi="仿宋" w:eastAsia="仿宋" w:cs="仿宋"/>
          <w:color w:val="auto"/>
          <w:sz w:val="24"/>
          <w:highlight w:val="none"/>
        </w:rPr>
        <w:t>条“招标代理服务费”标准支付。</w:t>
      </w:r>
    </w:p>
    <w:tbl>
      <w:tblPr>
        <w:tblStyle w:val="4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03"/>
        <w:gridCol w:w="2419"/>
      </w:tblGrid>
      <w:tr w14:paraId="01902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Pr>
          <w:p w14:paraId="2297D238">
            <w:pPr>
              <w:spacing w:before="156" w:after="156"/>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与本投标有关的正式通信方式：</w:t>
            </w:r>
          </w:p>
        </w:tc>
      </w:tr>
      <w:tr w14:paraId="5629C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03" w:type="dxa"/>
          </w:tcPr>
          <w:p w14:paraId="4C36D37C">
            <w:pPr>
              <w:spacing w:before="156" w:after="156"/>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w:t>
            </w:r>
          </w:p>
        </w:tc>
        <w:tc>
          <w:tcPr>
            <w:tcW w:w="2419" w:type="dxa"/>
          </w:tcPr>
          <w:p w14:paraId="44A33FA3">
            <w:pPr>
              <w:spacing w:before="156" w:after="156"/>
              <w:ind w:left="39" w:firstLine="482"/>
              <w:rPr>
                <w:rFonts w:ascii="仿宋" w:hAnsi="仿宋" w:eastAsia="仿宋" w:cs="仿宋"/>
                <w:color w:val="auto"/>
                <w:sz w:val="24"/>
                <w:highlight w:val="none"/>
              </w:rPr>
            </w:pPr>
            <w:r>
              <w:rPr>
                <w:rFonts w:hint="eastAsia" w:ascii="仿宋" w:hAnsi="仿宋" w:eastAsia="仿宋" w:cs="仿宋"/>
                <w:color w:val="auto"/>
                <w:sz w:val="24"/>
                <w:highlight w:val="none"/>
              </w:rPr>
              <w:t>邮政编码：</w:t>
            </w:r>
          </w:p>
        </w:tc>
      </w:tr>
      <w:tr w14:paraId="38B60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Pr>
          <w:p w14:paraId="1BDC2A98">
            <w:pPr>
              <w:spacing w:before="156" w:after="156"/>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电话、手机、传真或电传：</w:t>
            </w:r>
          </w:p>
        </w:tc>
      </w:tr>
    </w:tbl>
    <w:p w14:paraId="151C997B">
      <w:pPr>
        <w:ind w:firstLine="5075" w:firstLineChars="2417"/>
        <w:rPr>
          <w:rFonts w:ascii="宋体" w:hAnsi="宋体"/>
          <w:color w:val="auto"/>
          <w:szCs w:val="21"/>
          <w:highlight w:val="none"/>
        </w:rPr>
      </w:pPr>
    </w:p>
    <w:p w14:paraId="4CFE3C63">
      <w:pPr>
        <w:ind w:firstLine="5075" w:firstLineChars="2417"/>
        <w:rPr>
          <w:rFonts w:ascii="宋体" w:hAnsi="宋体"/>
          <w:color w:val="auto"/>
          <w:szCs w:val="21"/>
          <w:highlight w:val="none"/>
        </w:rPr>
      </w:pPr>
    </w:p>
    <w:p w14:paraId="6C136E65">
      <w:pPr>
        <w:ind w:firstLine="5075" w:firstLineChars="2417"/>
        <w:rPr>
          <w:rFonts w:ascii="宋体" w:hAnsi="宋体"/>
          <w:color w:val="auto"/>
          <w:szCs w:val="21"/>
          <w:highlight w:val="none"/>
        </w:rPr>
      </w:pPr>
    </w:p>
    <w:p w14:paraId="1C5CE0C5">
      <w:pPr>
        <w:ind w:firstLine="1200" w:firstLineChars="500"/>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法定代表人或其授权委托人（</w:t>
      </w:r>
      <w:r>
        <w:rPr>
          <w:rFonts w:hint="eastAsia" w:ascii="仿宋" w:hAnsi="仿宋" w:eastAsia="仿宋" w:cs="仿宋"/>
          <w:b/>
          <w:color w:val="FF0000"/>
          <w:sz w:val="24"/>
          <w:highlight w:val="none"/>
        </w:rPr>
        <w:t>签名或盖私章</w:t>
      </w:r>
      <w:r>
        <w:rPr>
          <w:rFonts w:hint="eastAsia" w:ascii="仿宋" w:hAnsi="仿宋" w:eastAsia="仿宋" w:cs="仿宋"/>
          <w:color w:val="auto"/>
          <w:sz w:val="24"/>
          <w:highlight w:val="none"/>
        </w:rPr>
        <w:t>）：</w:t>
      </w:r>
    </w:p>
    <w:p w14:paraId="6861F6A7">
      <w:pPr>
        <w:ind w:left="39" w:firstLine="482"/>
        <w:jc w:val="left"/>
        <w:rPr>
          <w:rFonts w:ascii="仿宋" w:hAnsi="仿宋" w:eastAsia="仿宋" w:cs="仿宋"/>
          <w:color w:val="auto"/>
          <w:sz w:val="24"/>
          <w:highlight w:val="none"/>
        </w:rPr>
      </w:pPr>
    </w:p>
    <w:p w14:paraId="1DCDEA6C">
      <w:pPr>
        <w:ind w:firstLine="3600" w:firstLineChars="15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投标单位（</w:t>
      </w:r>
      <w:r>
        <w:rPr>
          <w:rFonts w:hint="eastAsia" w:ascii="仿宋" w:hAnsi="仿宋" w:eastAsia="仿宋" w:cs="仿宋"/>
          <w:b/>
          <w:color w:val="FF0000"/>
          <w:sz w:val="24"/>
          <w:highlight w:val="none"/>
        </w:rPr>
        <w:t>盖公章</w:t>
      </w:r>
      <w:r>
        <w:rPr>
          <w:rFonts w:hint="eastAsia" w:ascii="仿宋" w:hAnsi="仿宋" w:eastAsia="仿宋" w:cs="仿宋"/>
          <w:color w:val="auto"/>
          <w:sz w:val="24"/>
          <w:highlight w:val="none"/>
        </w:rPr>
        <w:t>）：</w:t>
      </w:r>
    </w:p>
    <w:p w14:paraId="3759890A">
      <w:pPr>
        <w:ind w:left="39" w:firstLine="482"/>
        <w:jc w:val="left"/>
        <w:rPr>
          <w:rFonts w:ascii="仿宋" w:hAnsi="仿宋" w:eastAsia="仿宋" w:cs="仿宋"/>
          <w:color w:val="auto"/>
          <w:sz w:val="24"/>
          <w:highlight w:val="none"/>
        </w:rPr>
      </w:pPr>
    </w:p>
    <w:p w14:paraId="6F8D7A10">
      <w:pPr>
        <w:ind w:left="39" w:firstLine="482"/>
        <w:jc w:val="righ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1904AE7">
      <w:pPr>
        <w:pStyle w:val="2"/>
        <w:rPr>
          <w:color w:val="auto"/>
          <w:highlight w:val="none"/>
        </w:rPr>
      </w:pPr>
      <w:r>
        <w:rPr>
          <w:color w:val="auto"/>
          <w:highlight w:val="none"/>
        </w:rPr>
        <w:br w:type="page"/>
      </w:r>
    </w:p>
    <w:p w14:paraId="60984B2A">
      <w:pPr>
        <w:pStyle w:val="7"/>
        <w:pageBreakBefore/>
        <w:spacing w:before="0" w:after="0" w:line="377" w:lineRule="auto"/>
        <w:ind w:left="45" w:firstLine="560"/>
        <w:jc w:val="center"/>
        <w:rPr>
          <w:rFonts w:ascii="方正小标宋简体" w:hAnsi="方正小标宋简体" w:eastAsia="方正小标宋简体" w:cs="方正小标宋简体"/>
          <w:b w:val="0"/>
          <w:bCs w:val="0"/>
          <w:color w:val="auto"/>
          <w:highlight w:val="none"/>
        </w:rPr>
      </w:pPr>
      <w:r>
        <w:rPr>
          <w:rFonts w:hint="eastAsia" w:ascii="方正小标宋简体" w:hAnsi="方正小标宋简体" w:eastAsia="方正小标宋简体" w:cs="方正小标宋简体"/>
          <w:b w:val="0"/>
          <w:bCs w:val="0"/>
          <w:color w:val="auto"/>
          <w:highlight w:val="none"/>
        </w:rPr>
        <w:t>（二）投标及履约承诺函</w:t>
      </w:r>
    </w:p>
    <w:p w14:paraId="5451C47E">
      <w:pPr>
        <w:ind w:left="0" w:firstLine="0" w:firstLineChars="0"/>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rPr>
        <w:t>致深圳市长筑路桥工程有限公司</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rPr>
        <w:t>深圳市宝安区建设工程监理有限公司</w:t>
      </w:r>
      <w:r>
        <w:rPr>
          <w:rFonts w:hint="eastAsia" w:ascii="仿宋" w:hAnsi="仿宋" w:eastAsia="仿宋" w:cs="仿宋"/>
          <w:color w:val="auto"/>
          <w:sz w:val="22"/>
          <w:szCs w:val="22"/>
          <w:highlight w:val="none"/>
          <w:lang w:eastAsia="zh-CN"/>
        </w:rPr>
        <w:t>：</w:t>
      </w:r>
    </w:p>
    <w:p w14:paraId="39B51F3E">
      <w:pPr>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我公司承诺：</w:t>
      </w:r>
    </w:p>
    <w:p w14:paraId="74EA6FE6">
      <w:pPr>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1.</w:t>
      </w:r>
      <w:r>
        <w:rPr>
          <w:rFonts w:hint="eastAsia" w:ascii="仿宋" w:hAnsi="仿宋" w:eastAsia="仿宋" w:cs="仿宋"/>
          <w:color w:val="auto"/>
          <w:sz w:val="22"/>
          <w:szCs w:val="22"/>
          <w:highlight w:val="none"/>
        </w:rPr>
        <w:t>我公司已完全理解该项目</w:t>
      </w:r>
      <w:r>
        <w:rPr>
          <w:rFonts w:hint="eastAsia" w:ascii="仿宋" w:hAnsi="仿宋" w:eastAsia="仿宋" w:cs="仿宋"/>
          <w:color w:val="auto"/>
          <w:sz w:val="22"/>
          <w:szCs w:val="22"/>
          <w:highlight w:val="none"/>
          <w:lang w:eastAsia="zh-CN"/>
        </w:rPr>
        <w:t>招标</w:t>
      </w:r>
      <w:r>
        <w:rPr>
          <w:rFonts w:hint="eastAsia" w:ascii="仿宋" w:hAnsi="仿宋" w:eastAsia="仿宋" w:cs="仿宋"/>
          <w:color w:val="auto"/>
          <w:sz w:val="22"/>
          <w:szCs w:val="22"/>
          <w:highlight w:val="none"/>
        </w:rPr>
        <w:t>公告所列明的全部条件，亦保证我公司完全符合本项目的投标条件。</w:t>
      </w:r>
    </w:p>
    <w:p w14:paraId="5BCE9144">
      <w:pPr>
        <w:ind w:firstLine="440" w:firstLineChars="200"/>
        <w:rPr>
          <w:rFonts w:ascii="仿宋" w:hAnsi="仿宋" w:eastAsia="仿宋" w:cs="仿宋"/>
          <w:color w:val="auto"/>
          <w:sz w:val="22"/>
          <w:szCs w:val="22"/>
          <w:highlight w:val="none"/>
        </w:rPr>
      </w:pPr>
      <w:r>
        <w:rPr>
          <w:rFonts w:hint="eastAsia" w:ascii="仿宋" w:hAnsi="仿宋" w:eastAsia="仿宋" w:cs="仿宋"/>
          <w:b w:val="0"/>
          <w:bCs w:val="0"/>
          <w:color w:val="auto"/>
          <w:sz w:val="22"/>
          <w:szCs w:val="22"/>
          <w:highlight w:val="none"/>
          <w:lang w:val="en-US" w:eastAsia="zh-CN"/>
        </w:rPr>
        <w:t>2.</w:t>
      </w:r>
      <w:r>
        <w:rPr>
          <w:rFonts w:hint="default" w:ascii="仿宋" w:hAnsi="仿宋" w:eastAsia="仿宋" w:cs="仿宋"/>
          <w:b w:val="0"/>
          <w:bCs w:val="0"/>
          <w:color w:val="auto"/>
          <w:sz w:val="22"/>
          <w:szCs w:val="22"/>
          <w:highlight w:val="none"/>
        </w:rPr>
        <w:t>我</w:t>
      </w:r>
      <w:r>
        <w:rPr>
          <w:rFonts w:hint="default" w:ascii="仿宋" w:hAnsi="仿宋" w:eastAsia="仿宋" w:cs="仿宋"/>
          <w:b w:val="0"/>
          <w:bCs w:val="0"/>
          <w:color w:val="auto"/>
          <w:sz w:val="22"/>
          <w:szCs w:val="22"/>
          <w:highlight w:val="none"/>
          <w:lang w:val="en-US" w:eastAsia="zh-CN"/>
        </w:rPr>
        <w:t>公司</w:t>
      </w:r>
      <w:r>
        <w:rPr>
          <w:rFonts w:hint="default" w:ascii="仿宋" w:hAnsi="仿宋" w:eastAsia="仿宋" w:cs="仿宋"/>
          <w:b w:val="0"/>
          <w:bCs w:val="0"/>
          <w:color w:val="auto"/>
          <w:sz w:val="22"/>
          <w:szCs w:val="22"/>
          <w:highlight w:val="none"/>
        </w:rPr>
        <w:t>同意</w:t>
      </w:r>
      <w:r>
        <w:rPr>
          <w:rFonts w:hint="default" w:ascii="仿宋" w:hAnsi="仿宋" w:eastAsia="仿宋" w:cs="仿宋"/>
          <w:b w:val="0"/>
          <w:bCs w:val="0"/>
          <w:color w:val="auto"/>
          <w:sz w:val="22"/>
          <w:szCs w:val="22"/>
          <w:highlight w:val="none"/>
          <w:lang w:eastAsia="zh-CN"/>
        </w:rPr>
        <w:t>招标文件</w:t>
      </w:r>
      <w:r>
        <w:rPr>
          <w:rFonts w:hint="default" w:ascii="仿宋" w:hAnsi="仿宋" w:eastAsia="仿宋" w:cs="仿宋"/>
          <w:b w:val="0"/>
          <w:bCs w:val="0"/>
          <w:color w:val="auto"/>
          <w:sz w:val="22"/>
          <w:szCs w:val="22"/>
          <w:highlight w:val="none"/>
        </w:rPr>
        <w:t>里规定的评定</w:t>
      </w:r>
      <w:r>
        <w:rPr>
          <w:rFonts w:hint="default" w:ascii="仿宋" w:hAnsi="仿宋" w:eastAsia="仿宋" w:cs="仿宋"/>
          <w:b w:val="0"/>
          <w:bCs w:val="0"/>
          <w:color w:val="auto"/>
          <w:sz w:val="22"/>
          <w:szCs w:val="22"/>
          <w:highlight w:val="none"/>
          <w:lang w:val="en-US" w:eastAsia="zh-CN"/>
        </w:rPr>
        <w:t>方</w:t>
      </w:r>
      <w:r>
        <w:rPr>
          <w:rFonts w:hint="default" w:ascii="仿宋" w:hAnsi="仿宋" w:eastAsia="仿宋" w:cs="仿宋"/>
          <w:b w:val="0"/>
          <w:bCs w:val="0"/>
          <w:color w:val="auto"/>
          <w:sz w:val="22"/>
          <w:szCs w:val="22"/>
          <w:highlight w:val="none"/>
        </w:rPr>
        <w:t>法，愿意</w:t>
      </w:r>
      <w:r>
        <w:rPr>
          <w:rFonts w:hint="default" w:ascii="仿宋" w:hAnsi="仿宋" w:eastAsia="仿宋" w:cs="仿宋"/>
          <w:b w:val="0"/>
          <w:bCs w:val="0"/>
          <w:color w:val="auto"/>
          <w:sz w:val="22"/>
          <w:szCs w:val="22"/>
          <w:highlight w:val="none"/>
          <w:lang w:val="en-US" w:eastAsia="zh-CN"/>
        </w:rPr>
        <w:t>接受所有中标候选人的评审报价的算术平均值为中标价</w:t>
      </w:r>
      <w:r>
        <w:rPr>
          <w:rFonts w:hint="default" w:ascii="仿宋" w:hAnsi="仿宋" w:eastAsia="仿宋" w:cs="仿宋"/>
          <w:b w:val="0"/>
          <w:bCs w:val="0"/>
          <w:color w:val="auto"/>
          <w:sz w:val="22"/>
          <w:szCs w:val="22"/>
          <w:highlight w:val="none"/>
        </w:rPr>
        <w:t>。</w:t>
      </w:r>
    </w:p>
    <w:p w14:paraId="07091D4F">
      <w:pPr>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3</w:t>
      </w:r>
      <w:r>
        <w:rPr>
          <w:rFonts w:hint="eastAsia" w:ascii="仿宋" w:hAnsi="仿宋" w:eastAsia="仿宋" w:cs="仿宋"/>
          <w:color w:val="auto"/>
          <w:sz w:val="22"/>
          <w:szCs w:val="22"/>
          <w:highlight w:val="none"/>
        </w:rPr>
        <w:t>.我公司严格按照贵方提供的标书样本填写和提交相关内容，保证所提交的投标资料全部真实有效，并愿意向贵方及</w:t>
      </w:r>
      <w:r>
        <w:rPr>
          <w:rFonts w:hint="eastAsia" w:ascii="仿宋" w:hAnsi="仿宋" w:eastAsia="仿宋" w:cs="仿宋"/>
          <w:color w:val="auto"/>
          <w:sz w:val="22"/>
          <w:szCs w:val="22"/>
          <w:highlight w:val="none"/>
          <w:lang w:eastAsia="zh-CN"/>
        </w:rPr>
        <w:t>招标人</w:t>
      </w:r>
      <w:r>
        <w:rPr>
          <w:rFonts w:hint="eastAsia" w:ascii="仿宋" w:hAnsi="仿宋" w:eastAsia="仿宋" w:cs="仿宋"/>
          <w:color w:val="auto"/>
          <w:sz w:val="22"/>
          <w:szCs w:val="22"/>
          <w:highlight w:val="none"/>
        </w:rPr>
        <w:t>提供任何与本项目有关的数据、情况和技术资料。</w:t>
      </w:r>
    </w:p>
    <w:p w14:paraId="3DBEE1F1">
      <w:pPr>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4</w:t>
      </w:r>
      <w:r>
        <w:rPr>
          <w:rFonts w:hint="eastAsia" w:ascii="仿宋" w:hAnsi="仿宋" w:eastAsia="仿宋" w:cs="仿宋"/>
          <w:color w:val="auto"/>
          <w:sz w:val="22"/>
          <w:szCs w:val="22"/>
          <w:highlight w:val="none"/>
        </w:rPr>
        <w:t>.我公司对本招标项目所提供的货物、工程或服务未侵犯知识产权。我公司已清楚，提供虚假承诺或者被有关单位确认为侵犯知识产权的，三年内不得参加</w:t>
      </w:r>
      <w:r>
        <w:rPr>
          <w:rFonts w:hint="eastAsia" w:ascii="仿宋" w:hAnsi="仿宋" w:eastAsia="仿宋" w:cs="仿宋"/>
          <w:color w:val="auto"/>
          <w:sz w:val="22"/>
          <w:szCs w:val="22"/>
          <w:highlight w:val="none"/>
          <w:lang w:eastAsia="zh-CN"/>
        </w:rPr>
        <w:t>招标人</w:t>
      </w:r>
      <w:r>
        <w:rPr>
          <w:rFonts w:hint="eastAsia" w:ascii="仿宋" w:hAnsi="仿宋" w:eastAsia="仿宋" w:cs="仿宋"/>
          <w:color w:val="auto"/>
          <w:sz w:val="22"/>
          <w:szCs w:val="22"/>
          <w:highlight w:val="none"/>
        </w:rPr>
        <w:t>上级公司或</w:t>
      </w:r>
      <w:r>
        <w:rPr>
          <w:rFonts w:hint="eastAsia" w:ascii="仿宋" w:hAnsi="仿宋" w:eastAsia="仿宋" w:cs="仿宋"/>
          <w:color w:val="auto"/>
          <w:sz w:val="22"/>
          <w:szCs w:val="22"/>
          <w:highlight w:val="none"/>
          <w:lang w:eastAsia="zh-CN"/>
        </w:rPr>
        <w:t>招标人</w:t>
      </w:r>
      <w:r>
        <w:rPr>
          <w:rFonts w:hint="eastAsia" w:ascii="仿宋" w:hAnsi="仿宋" w:eastAsia="仿宋" w:cs="仿宋"/>
          <w:color w:val="auto"/>
          <w:sz w:val="22"/>
          <w:szCs w:val="22"/>
          <w:highlight w:val="none"/>
        </w:rPr>
        <w:t>的</w:t>
      </w:r>
      <w:r>
        <w:rPr>
          <w:rFonts w:hint="eastAsia" w:ascii="仿宋" w:hAnsi="仿宋" w:eastAsia="仿宋" w:cs="仿宋"/>
          <w:color w:val="auto"/>
          <w:sz w:val="22"/>
          <w:szCs w:val="22"/>
          <w:highlight w:val="none"/>
          <w:lang w:eastAsia="zh-CN"/>
        </w:rPr>
        <w:t>招标</w:t>
      </w:r>
      <w:r>
        <w:rPr>
          <w:rFonts w:hint="eastAsia" w:ascii="仿宋" w:hAnsi="仿宋" w:eastAsia="仿宋" w:cs="仿宋"/>
          <w:color w:val="auto"/>
          <w:sz w:val="22"/>
          <w:szCs w:val="22"/>
          <w:highlight w:val="none"/>
        </w:rPr>
        <w:t>项目的投标。</w:t>
      </w:r>
    </w:p>
    <w:p w14:paraId="50A4C0D4">
      <w:pPr>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5</w:t>
      </w:r>
      <w:r>
        <w:rPr>
          <w:rFonts w:hint="eastAsia" w:ascii="仿宋" w:hAnsi="仿宋" w:eastAsia="仿宋" w:cs="仿宋"/>
          <w:color w:val="auto"/>
          <w:sz w:val="22"/>
          <w:szCs w:val="22"/>
          <w:highlight w:val="none"/>
        </w:rPr>
        <w:t>.我公司未被列入失信被执行人、重大税收违法失信主体、政府采购严重违法失信行为记录名单。</w:t>
      </w:r>
    </w:p>
    <w:p w14:paraId="014FAA21">
      <w:pPr>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6</w:t>
      </w:r>
      <w:r>
        <w:rPr>
          <w:rFonts w:hint="eastAsia" w:ascii="仿宋" w:hAnsi="仿宋" w:eastAsia="仿宋" w:cs="仿宋"/>
          <w:color w:val="auto"/>
          <w:sz w:val="22"/>
          <w:szCs w:val="22"/>
          <w:highlight w:val="none"/>
        </w:rPr>
        <w:t>.我公司</w:t>
      </w:r>
      <w:r>
        <w:rPr>
          <w:rFonts w:ascii="仿宋" w:hAnsi="仿宋" w:eastAsia="仿宋" w:cs="仿宋"/>
          <w:color w:val="auto"/>
          <w:sz w:val="22"/>
          <w:szCs w:val="22"/>
          <w:highlight w:val="none"/>
        </w:rPr>
        <w:t>及其法定代表人参与采购活动前三年内（投标人成立不足三年的可从成立之日起算），在经营活动中无重大违法记录、无行贿犯罪记录、无串通投标、弄虚作假不良行为记录被暂停投标资格期间的情况</w:t>
      </w:r>
      <w:r>
        <w:rPr>
          <w:rFonts w:hint="eastAsia" w:ascii="仿宋" w:hAnsi="仿宋" w:eastAsia="仿宋" w:cs="仿宋"/>
          <w:color w:val="auto"/>
          <w:sz w:val="22"/>
          <w:szCs w:val="22"/>
          <w:highlight w:val="none"/>
        </w:rPr>
        <w:t>。</w:t>
      </w:r>
    </w:p>
    <w:p w14:paraId="6FA7AA62">
      <w:pPr>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7</w:t>
      </w:r>
      <w:r>
        <w:rPr>
          <w:rFonts w:hint="eastAsia" w:ascii="仿宋" w:hAnsi="仿宋" w:eastAsia="仿宋" w:cs="仿宋"/>
          <w:color w:val="auto"/>
          <w:sz w:val="22"/>
          <w:szCs w:val="22"/>
          <w:highlight w:val="none"/>
        </w:rPr>
        <w:t>.我公司未被列入深圳市宝安交通投资集团有限公司</w:t>
      </w:r>
      <w:r>
        <w:rPr>
          <w:rFonts w:hint="eastAsia" w:ascii="仿宋" w:hAnsi="仿宋" w:eastAsia="仿宋" w:cs="仿宋"/>
          <w:color w:val="auto"/>
          <w:sz w:val="22"/>
          <w:szCs w:val="22"/>
          <w:highlight w:val="none"/>
          <w:lang w:val="en-US" w:eastAsia="zh-CN"/>
        </w:rPr>
        <w:t>或</w:t>
      </w:r>
      <w:r>
        <w:rPr>
          <w:rFonts w:hint="eastAsia" w:ascii="仿宋" w:hAnsi="仿宋" w:eastAsia="仿宋" w:cs="仿宋"/>
          <w:color w:val="auto"/>
          <w:sz w:val="22"/>
          <w:szCs w:val="22"/>
          <w:highlight w:val="none"/>
        </w:rPr>
        <w:t>招标人黑名单。</w:t>
      </w:r>
    </w:p>
    <w:p w14:paraId="7200F16F">
      <w:pPr>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8</w:t>
      </w:r>
      <w:r>
        <w:rPr>
          <w:rFonts w:hint="eastAsia" w:ascii="仿宋" w:hAnsi="仿宋" w:eastAsia="仿宋" w:cs="仿宋"/>
          <w:color w:val="auto"/>
          <w:sz w:val="22"/>
          <w:szCs w:val="22"/>
          <w:highlight w:val="none"/>
        </w:rPr>
        <w:t>.我公司参与该项目投标，严格遵守招</w:t>
      </w:r>
      <w:r>
        <w:rPr>
          <w:rFonts w:hint="eastAsia" w:ascii="仿宋" w:hAnsi="仿宋" w:eastAsia="仿宋" w:cs="仿宋"/>
          <w:color w:val="auto"/>
          <w:sz w:val="22"/>
          <w:szCs w:val="22"/>
          <w:highlight w:val="none"/>
          <w:lang w:val="en-US" w:eastAsia="zh-CN"/>
        </w:rPr>
        <w:t>投标</w:t>
      </w:r>
      <w:r>
        <w:rPr>
          <w:rFonts w:hint="eastAsia" w:ascii="仿宋" w:hAnsi="仿宋" w:eastAsia="仿宋" w:cs="仿宋"/>
          <w:color w:val="auto"/>
          <w:sz w:val="22"/>
          <w:szCs w:val="22"/>
          <w:highlight w:val="none"/>
        </w:rPr>
        <w:t>相关法律，不造假，不围标、串标、陪标。我公司已清楚，如违反上述要求，投标将作无效处理，被列入不良记录名单并在网上曝光，同时将被提请主管部门给予一定年限内禁止参与采购活动或其他处罚。</w:t>
      </w:r>
    </w:p>
    <w:p w14:paraId="5D1FF138">
      <w:pPr>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9.</w:t>
      </w:r>
      <w:r>
        <w:rPr>
          <w:rFonts w:hint="eastAsia" w:ascii="仿宋" w:hAnsi="仿宋" w:eastAsia="仿宋" w:cs="仿宋"/>
          <w:color w:val="auto"/>
          <w:sz w:val="22"/>
          <w:szCs w:val="22"/>
          <w:highlight w:val="none"/>
        </w:rPr>
        <w:t>我公司如果中标，做到守信，不偷工减料，依照本项目招标文件需求内容、签署的采购合同及本公司在投标中所作的一切承诺履约。我公司对本项目的报价负责，中标后将严格按照本项目招标文件需求、签署的采购合同及我公司在投标中所作的全部承诺履行。</w:t>
      </w:r>
    </w:p>
    <w:p w14:paraId="44E34DB5">
      <w:pPr>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10</w:t>
      </w:r>
      <w:r>
        <w:rPr>
          <w:rFonts w:hint="eastAsia" w:ascii="仿宋" w:hAnsi="仿宋" w:eastAsia="仿宋" w:cs="仿宋"/>
          <w:color w:val="auto"/>
          <w:sz w:val="22"/>
          <w:szCs w:val="22"/>
          <w:highlight w:val="none"/>
        </w:rPr>
        <w:t>.我公司清楚，若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638EE387">
      <w:pPr>
        <w:ind w:firstLine="440" w:firstLineChars="20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w:t>
      </w:r>
      <w:r>
        <w:rPr>
          <w:rFonts w:hint="eastAsia" w:ascii="仿宋" w:hAnsi="仿宋" w:eastAsia="仿宋" w:cs="仿宋"/>
          <w:color w:val="auto"/>
          <w:sz w:val="22"/>
          <w:szCs w:val="22"/>
          <w:highlight w:val="none"/>
          <w:lang w:val="en-US" w:eastAsia="zh-CN"/>
        </w:rPr>
        <w:t>1</w:t>
      </w:r>
      <w:r>
        <w:rPr>
          <w:rFonts w:hint="eastAsia" w:ascii="仿宋" w:hAnsi="仿宋" w:eastAsia="仿宋" w:cs="仿宋"/>
          <w:color w:val="auto"/>
          <w:sz w:val="22"/>
          <w:szCs w:val="22"/>
          <w:highlight w:val="none"/>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D47C043">
      <w:pPr>
        <w:ind w:firstLine="440" w:firstLineChars="200"/>
        <w:rPr>
          <w:rFonts w:ascii="仿宋" w:hAnsi="仿宋" w:eastAsia="仿宋" w:cs="仿宋"/>
          <w:color w:val="auto"/>
          <w:sz w:val="22"/>
          <w:szCs w:val="22"/>
          <w:highlight w:val="none"/>
        </w:rPr>
      </w:pPr>
      <w:r>
        <w:rPr>
          <w:rFonts w:ascii="仿宋" w:hAnsi="仿宋" w:eastAsia="仿宋" w:cs="仿宋"/>
          <w:color w:val="auto"/>
          <w:sz w:val="22"/>
          <w:szCs w:val="22"/>
          <w:highlight w:val="none"/>
        </w:rPr>
        <w:t>1</w:t>
      </w:r>
      <w:r>
        <w:rPr>
          <w:rFonts w:hint="eastAsia" w:ascii="仿宋" w:hAnsi="仿宋" w:eastAsia="仿宋" w:cs="仿宋"/>
          <w:color w:val="auto"/>
          <w:sz w:val="22"/>
          <w:szCs w:val="22"/>
          <w:highlight w:val="none"/>
          <w:lang w:val="en-US" w:eastAsia="zh-CN"/>
        </w:rPr>
        <w:t>2</w:t>
      </w:r>
      <w:r>
        <w:rPr>
          <w:rFonts w:hint="eastAsia" w:ascii="仿宋" w:hAnsi="仿宋" w:eastAsia="仿宋" w:cs="仿宋"/>
          <w:color w:val="auto"/>
          <w:sz w:val="22"/>
          <w:szCs w:val="22"/>
          <w:highlight w:val="none"/>
        </w:rPr>
        <w:t>.我公司承诺未以联合体投标，中标后项目不转包，不分包。</w:t>
      </w:r>
    </w:p>
    <w:p w14:paraId="3FA7828E">
      <w:pPr>
        <w:ind w:firstLine="440" w:firstLineChars="200"/>
        <w:rPr>
          <w:rFonts w:ascii="仿宋" w:hAnsi="仿宋" w:eastAsia="仿宋" w:cs="仿宋"/>
          <w:color w:val="auto"/>
          <w:sz w:val="22"/>
          <w:szCs w:val="22"/>
          <w:highlight w:val="none"/>
        </w:rPr>
      </w:pPr>
      <w:r>
        <w:rPr>
          <w:rFonts w:ascii="仿宋" w:hAnsi="仿宋" w:eastAsia="仿宋" w:cs="仿宋"/>
          <w:color w:val="auto"/>
          <w:sz w:val="22"/>
          <w:szCs w:val="22"/>
          <w:highlight w:val="none"/>
        </w:rPr>
        <w:t>1</w:t>
      </w:r>
      <w:r>
        <w:rPr>
          <w:rFonts w:hint="eastAsia" w:ascii="仿宋" w:hAnsi="仿宋" w:eastAsia="仿宋" w:cs="仿宋"/>
          <w:color w:val="auto"/>
          <w:sz w:val="22"/>
          <w:szCs w:val="22"/>
          <w:highlight w:val="none"/>
          <w:lang w:val="en-US" w:eastAsia="zh-CN"/>
        </w:rPr>
        <w:t>3</w:t>
      </w:r>
      <w:r>
        <w:rPr>
          <w:rFonts w:hint="eastAsia" w:ascii="仿宋" w:hAnsi="仿宋" w:eastAsia="仿宋" w:cs="仿宋"/>
          <w:color w:val="auto"/>
          <w:sz w:val="22"/>
          <w:szCs w:val="22"/>
          <w:highlight w:val="none"/>
        </w:rPr>
        <w:t>.我公司不存在下列被认定为投标人之间存在关联关系的情况：</w:t>
      </w:r>
      <w:r>
        <w:rPr>
          <w:rFonts w:hint="eastAsia" w:ascii="仿宋" w:hAnsi="仿宋" w:eastAsia="仿宋" w:cs="仿宋"/>
          <w:b w:val="0"/>
          <w:bCs w:val="0"/>
          <w:color w:val="auto"/>
          <w:sz w:val="22"/>
          <w:szCs w:val="22"/>
          <w:highlight w:val="none"/>
          <w:lang w:val="en-US" w:eastAsia="zh-CN"/>
        </w:rPr>
        <w:t>(1)法定代表人为同一人；(2)相互间存在参股、控股关系；(3)存在行政隶属关系</w:t>
      </w:r>
      <w:r>
        <w:rPr>
          <w:rFonts w:hint="eastAsia" w:ascii="仿宋" w:hAnsi="仿宋" w:eastAsia="仿宋" w:cs="仿宋"/>
          <w:color w:val="auto"/>
          <w:sz w:val="22"/>
          <w:szCs w:val="22"/>
          <w:highlight w:val="none"/>
        </w:rPr>
        <w:t>。</w:t>
      </w:r>
    </w:p>
    <w:p w14:paraId="2E044D9F">
      <w:pPr>
        <w:ind w:firstLine="440" w:firstLineChars="200"/>
        <w:rPr>
          <w:rFonts w:hint="eastAsia" w:ascii="仿宋" w:hAnsi="仿宋" w:eastAsia="仿宋" w:cs="仿宋"/>
          <w:color w:val="auto"/>
          <w:sz w:val="22"/>
          <w:szCs w:val="22"/>
          <w:highlight w:val="none"/>
        </w:rPr>
      </w:pPr>
      <w:r>
        <w:rPr>
          <w:rFonts w:ascii="仿宋" w:hAnsi="仿宋" w:eastAsia="仿宋" w:cs="仿宋"/>
          <w:color w:val="auto"/>
          <w:sz w:val="22"/>
          <w:szCs w:val="22"/>
          <w:highlight w:val="none"/>
        </w:rPr>
        <w:t>1</w:t>
      </w:r>
      <w:r>
        <w:rPr>
          <w:rFonts w:hint="eastAsia" w:ascii="仿宋" w:hAnsi="仿宋" w:eastAsia="仿宋" w:cs="仿宋"/>
          <w:color w:val="auto"/>
          <w:sz w:val="22"/>
          <w:szCs w:val="22"/>
          <w:highlight w:val="none"/>
          <w:lang w:val="en-US" w:eastAsia="zh-CN"/>
        </w:rPr>
        <w:t>4</w:t>
      </w:r>
      <w:r>
        <w:rPr>
          <w:rFonts w:hint="eastAsia" w:ascii="仿宋" w:hAnsi="仿宋" w:eastAsia="仿宋" w:cs="仿宋"/>
          <w:color w:val="auto"/>
          <w:sz w:val="22"/>
          <w:szCs w:val="22"/>
          <w:highlight w:val="none"/>
        </w:rPr>
        <w:t>.我公司不存在</w:t>
      </w:r>
      <w:r>
        <w:rPr>
          <w:rFonts w:ascii="仿宋" w:hAnsi="仿宋" w:eastAsia="仿宋" w:cs="仿宋"/>
          <w:color w:val="auto"/>
          <w:sz w:val="22"/>
          <w:szCs w:val="22"/>
          <w:highlight w:val="none"/>
        </w:rPr>
        <w:t>违反法律、行政法规规定的其他条件</w:t>
      </w:r>
      <w:r>
        <w:rPr>
          <w:rFonts w:hint="eastAsia" w:ascii="仿宋" w:hAnsi="仿宋" w:eastAsia="仿宋" w:cs="仿宋"/>
          <w:color w:val="auto"/>
          <w:sz w:val="22"/>
          <w:szCs w:val="22"/>
          <w:highlight w:val="none"/>
        </w:rPr>
        <w:t>。</w:t>
      </w:r>
    </w:p>
    <w:p w14:paraId="4851C4C2">
      <w:pPr>
        <w:pStyle w:val="2"/>
        <w:rPr>
          <w:color w:val="auto"/>
          <w:highlight w:val="none"/>
        </w:rPr>
      </w:pPr>
    </w:p>
    <w:p w14:paraId="2A70FCE5">
      <w:pPr>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以上承诺，如有违反，愿依照国家相关法律法规处理，并承担由此给</w:t>
      </w:r>
      <w:r>
        <w:rPr>
          <w:rFonts w:hint="eastAsia" w:ascii="仿宋" w:hAnsi="仿宋" w:eastAsia="仿宋" w:cs="仿宋"/>
          <w:color w:val="auto"/>
          <w:sz w:val="22"/>
          <w:szCs w:val="22"/>
          <w:highlight w:val="none"/>
          <w:lang w:eastAsia="zh-CN"/>
        </w:rPr>
        <w:t>招标人</w:t>
      </w:r>
      <w:r>
        <w:rPr>
          <w:rFonts w:hint="eastAsia" w:ascii="仿宋" w:hAnsi="仿宋" w:eastAsia="仿宋" w:cs="仿宋"/>
          <w:color w:val="auto"/>
          <w:sz w:val="22"/>
          <w:szCs w:val="22"/>
          <w:highlight w:val="none"/>
        </w:rPr>
        <w:t>带来的损失。</w:t>
      </w:r>
    </w:p>
    <w:p w14:paraId="4763714D">
      <w:pPr>
        <w:pStyle w:val="2"/>
        <w:rPr>
          <w:rFonts w:hint="eastAsia"/>
          <w:highlight w:val="none"/>
        </w:rPr>
      </w:pPr>
    </w:p>
    <w:p w14:paraId="6A6816A4">
      <w:pPr>
        <w:pStyle w:val="2"/>
        <w:rPr>
          <w:highlight w:val="none"/>
        </w:rPr>
      </w:pPr>
    </w:p>
    <w:p w14:paraId="664C5B43">
      <w:pPr>
        <w:ind w:firstLine="3300" w:firstLineChars="1500"/>
        <w:jc w:val="left"/>
        <w:rPr>
          <w:rFonts w:ascii="仿宋" w:hAnsi="仿宋" w:eastAsia="仿宋" w:cs="仿宋"/>
          <w:color w:val="auto"/>
          <w:sz w:val="22"/>
          <w:szCs w:val="22"/>
          <w:highlight w:val="none"/>
        </w:rPr>
      </w:pPr>
    </w:p>
    <w:p w14:paraId="2933967A">
      <w:pPr>
        <w:spacing w:after="124" w:afterLines="40"/>
        <w:ind w:firstLine="3300" w:firstLineChars="1500"/>
        <w:jc w:val="left"/>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法定代表人或其授权委托人（</w:t>
      </w:r>
      <w:r>
        <w:rPr>
          <w:rFonts w:hint="eastAsia" w:ascii="仿宋" w:hAnsi="仿宋" w:eastAsia="仿宋" w:cs="仿宋"/>
          <w:b/>
          <w:color w:val="FF0000"/>
          <w:sz w:val="22"/>
          <w:szCs w:val="22"/>
          <w:highlight w:val="none"/>
        </w:rPr>
        <w:t>签名或盖私章</w:t>
      </w:r>
      <w:r>
        <w:rPr>
          <w:rFonts w:hint="eastAsia" w:ascii="仿宋" w:hAnsi="仿宋" w:eastAsia="仿宋" w:cs="仿宋"/>
          <w:color w:val="auto"/>
          <w:sz w:val="22"/>
          <w:szCs w:val="22"/>
          <w:highlight w:val="none"/>
        </w:rPr>
        <w:t>）：</w:t>
      </w:r>
    </w:p>
    <w:p w14:paraId="18DB0352">
      <w:pPr>
        <w:spacing w:after="124" w:afterLines="40"/>
        <w:ind w:firstLine="3300" w:firstLineChars="1500"/>
        <w:jc w:val="left"/>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投标单位（</w:t>
      </w:r>
      <w:r>
        <w:rPr>
          <w:rFonts w:hint="eastAsia" w:ascii="仿宋" w:hAnsi="仿宋" w:eastAsia="仿宋" w:cs="仿宋"/>
          <w:b/>
          <w:color w:val="FF0000"/>
          <w:sz w:val="22"/>
          <w:szCs w:val="22"/>
          <w:highlight w:val="none"/>
        </w:rPr>
        <w:t>盖公章</w:t>
      </w:r>
      <w:r>
        <w:rPr>
          <w:rFonts w:hint="eastAsia" w:ascii="仿宋" w:hAnsi="仿宋" w:eastAsia="仿宋" w:cs="仿宋"/>
          <w:color w:val="auto"/>
          <w:sz w:val="22"/>
          <w:szCs w:val="22"/>
          <w:highlight w:val="none"/>
        </w:rPr>
        <w:t>）：</w:t>
      </w:r>
    </w:p>
    <w:p w14:paraId="0BE8B49C">
      <w:pPr>
        <w:spacing w:after="124" w:afterLines="40"/>
        <w:ind w:left="35" w:firstLine="442"/>
        <w:jc w:val="right"/>
        <w:rPr>
          <w:color w:val="auto"/>
          <w:highlight w:val="none"/>
        </w:rPr>
      </w:pPr>
      <w:r>
        <w:rPr>
          <w:rFonts w:hint="eastAsia" w:ascii="仿宋" w:hAnsi="仿宋" w:eastAsia="仿宋" w:cs="仿宋"/>
          <w:color w:val="auto"/>
          <w:sz w:val="22"/>
          <w:szCs w:val="22"/>
          <w:highlight w:val="none"/>
        </w:rPr>
        <w:t>日期：    年  月  日</w:t>
      </w:r>
    </w:p>
    <w:p w14:paraId="341C29E6">
      <w:pPr>
        <w:rPr>
          <w:color w:val="auto"/>
          <w:highlight w:val="none"/>
        </w:rPr>
      </w:pPr>
    </w:p>
    <w:p w14:paraId="141C9E8D">
      <w:pPr>
        <w:rPr>
          <w:rFonts w:ascii="方正小标宋简体" w:hAnsi="方正小标宋简体" w:eastAsia="方正小标宋简体" w:cs="方正小标宋简体"/>
          <w:color w:val="auto"/>
          <w:highlight w:val="none"/>
        </w:rPr>
      </w:pPr>
      <w:r>
        <w:rPr>
          <w:rFonts w:hint="eastAsia" w:ascii="方正小标宋简体" w:hAnsi="方正小标宋简体" w:eastAsia="方正小标宋简体" w:cs="方正小标宋简体"/>
          <w:color w:val="auto"/>
          <w:highlight w:val="none"/>
        </w:rPr>
        <w:br w:type="page"/>
      </w:r>
    </w:p>
    <w:p w14:paraId="6755809A">
      <w:pPr>
        <w:pStyle w:val="7"/>
        <w:ind w:left="45" w:firstLine="560"/>
        <w:jc w:val="center"/>
        <w:rPr>
          <w:rFonts w:ascii="方正小标宋简体" w:hAnsi="方正小标宋简体" w:eastAsia="方正小标宋简体" w:cs="方正小标宋简体"/>
          <w:b w:val="0"/>
          <w:bCs w:val="0"/>
          <w:color w:val="auto"/>
          <w:highlight w:val="none"/>
        </w:rPr>
      </w:pPr>
      <w:r>
        <w:rPr>
          <w:rFonts w:hint="eastAsia" w:ascii="方正小标宋简体" w:hAnsi="方正小标宋简体" w:eastAsia="方正小标宋简体" w:cs="方正小标宋简体"/>
          <w:b w:val="0"/>
          <w:bCs w:val="0"/>
          <w:color w:val="auto"/>
          <w:highlight w:val="none"/>
        </w:rPr>
        <w:t>（三）诚信承诺函</w:t>
      </w:r>
    </w:p>
    <w:p w14:paraId="49EBD49E">
      <w:pPr>
        <w:spacing w:line="400" w:lineRule="exact"/>
        <w:ind w:left="0" w:firstLine="0"/>
        <w:jc w:val="left"/>
        <w:rPr>
          <w:rFonts w:ascii="仿宋" w:hAnsi="仿宋" w:eastAsia="仿宋" w:cs="仿宋"/>
          <w:color w:val="auto"/>
          <w:sz w:val="24"/>
          <w:highlight w:val="none"/>
        </w:rPr>
      </w:pPr>
      <w:r>
        <w:rPr>
          <w:rFonts w:hint="eastAsia" w:ascii="仿宋" w:hAnsi="仿宋" w:eastAsia="仿宋" w:cs="仿宋"/>
          <w:color w:val="auto"/>
          <w:sz w:val="24"/>
          <w:highlight w:val="none"/>
        </w:rPr>
        <w:t>致深圳市长筑路桥工程有限公司</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深圳市宝安区建设工程监理有限公司:</w:t>
      </w:r>
    </w:p>
    <w:p w14:paraId="0661E10E">
      <w:pPr>
        <w:pStyle w:val="76"/>
        <w:tabs>
          <w:tab w:val="left" w:pos="567"/>
        </w:tabs>
        <w:spacing w:line="400" w:lineRule="exact"/>
        <w:ind w:left="39" w:firstLine="480"/>
        <w:rPr>
          <w:rFonts w:ascii="仿宋" w:hAnsi="仿宋" w:eastAsia="仿宋" w:cs="仿宋"/>
          <w:b w:val="0"/>
          <w:color w:val="auto"/>
          <w:szCs w:val="24"/>
          <w:highlight w:val="none"/>
        </w:rPr>
      </w:pPr>
      <w:r>
        <w:rPr>
          <w:rFonts w:hint="eastAsia" w:ascii="仿宋" w:hAnsi="仿宋" w:eastAsia="仿宋" w:cs="仿宋"/>
          <w:b w:val="0"/>
          <w:color w:val="auto"/>
          <w:szCs w:val="24"/>
          <w:highlight w:val="none"/>
        </w:rPr>
        <w:t>信用承诺是社会信用体系建设的重要内容，更是体现诚信守法的重要标志。（投标人名称）谨作出以下承诺：</w:t>
      </w:r>
    </w:p>
    <w:p w14:paraId="2D9DC378">
      <w:pPr>
        <w:pStyle w:val="76"/>
        <w:tabs>
          <w:tab w:val="left" w:pos="567"/>
        </w:tabs>
        <w:spacing w:line="400" w:lineRule="exact"/>
        <w:ind w:left="39" w:firstLine="480"/>
        <w:rPr>
          <w:rFonts w:ascii="仿宋" w:hAnsi="仿宋" w:eastAsia="仿宋" w:cs="仿宋"/>
          <w:b w:val="0"/>
          <w:color w:val="auto"/>
          <w:szCs w:val="24"/>
          <w:highlight w:val="none"/>
        </w:rPr>
      </w:pPr>
      <w:r>
        <w:rPr>
          <w:rFonts w:hint="eastAsia" w:ascii="仿宋" w:hAnsi="仿宋" w:eastAsia="仿宋" w:cs="仿宋"/>
          <w:b w:val="0"/>
          <w:color w:val="auto"/>
          <w:szCs w:val="24"/>
          <w:highlight w:val="none"/>
        </w:rPr>
        <w:t>我司在参与贵方组织的_____（项目名称和项目编号）____的活动中，保证所提供的资料真实、合法，没有任何伪造、变造资料，或通过欺骗、窃取等非法及不正当手段获得相关资料的行为。如存在上述情形，贵单位有权将其列入我司的信用记录，并归集纳入到相关的信用信息系统、黑名单等，贵单位及相关信用信息系统的运营单位有权将之对外公示。</w:t>
      </w:r>
    </w:p>
    <w:p w14:paraId="483312B9">
      <w:pPr>
        <w:pStyle w:val="76"/>
        <w:tabs>
          <w:tab w:val="left" w:pos="567"/>
        </w:tabs>
        <w:spacing w:line="400" w:lineRule="exact"/>
        <w:ind w:left="39" w:firstLine="480"/>
        <w:rPr>
          <w:rFonts w:ascii="仿宋" w:hAnsi="仿宋" w:eastAsia="仿宋" w:cs="仿宋"/>
          <w:b w:val="0"/>
          <w:color w:val="auto"/>
          <w:szCs w:val="24"/>
          <w:highlight w:val="none"/>
        </w:rPr>
      </w:pPr>
      <w:r>
        <w:rPr>
          <w:rFonts w:hint="eastAsia" w:ascii="仿宋" w:hAnsi="仿宋" w:eastAsia="仿宋" w:cs="仿宋"/>
          <w:b w:val="0"/>
          <w:color w:val="auto"/>
          <w:szCs w:val="24"/>
          <w:highlight w:val="none"/>
        </w:rPr>
        <w:t>至投标截止日止，我司承诺符合国家和深圳市有关诚信管理的要求（未被信用中国网、中国政府采购网、国家企业信用信息公示系统、深圳市政府采购监督管理网和深圳公共资源交易中心市、区政府采购平台列为有诚信问题的企业）。</w:t>
      </w:r>
    </w:p>
    <w:p w14:paraId="00BB6530">
      <w:pPr>
        <w:pStyle w:val="76"/>
        <w:tabs>
          <w:tab w:val="left" w:pos="567"/>
        </w:tabs>
        <w:spacing w:line="400" w:lineRule="exact"/>
        <w:ind w:left="39" w:firstLine="480"/>
        <w:rPr>
          <w:rFonts w:ascii="仿宋" w:hAnsi="仿宋" w:eastAsia="仿宋" w:cs="仿宋"/>
          <w:b w:val="0"/>
          <w:color w:val="auto"/>
          <w:szCs w:val="24"/>
          <w:highlight w:val="none"/>
        </w:rPr>
      </w:pPr>
      <w:r>
        <w:rPr>
          <w:rFonts w:hint="eastAsia" w:ascii="仿宋" w:hAnsi="仿宋" w:eastAsia="仿宋" w:cs="仿宋"/>
          <w:b w:val="0"/>
          <w:color w:val="auto"/>
          <w:szCs w:val="24"/>
          <w:highlight w:val="none"/>
        </w:rPr>
        <w:t>如我方在本次</w:t>
      </w:r>
      <w:r>
        <w:rPr>
          <w:rFonts w:hint="eastAsia" w:ascii="仿宋" w:hAnsi="仿宋" w:eastAsia="仿宋" w:cs="仿宋"/>
          <w:b w:val="0"/>
          <w:color w:val="auto"/>
          <w:szCs w:val="24"/>
          <w:highlight w:val="none"/>
          <w:lang w:eastAsia="zh-CN"/>
        </w:rPr>
        <w:t>招标</w:t>
      </w:r>
      <w:r>
        <w:rPr>
          <w:rFonts w:hint="eastAsia" w:ascii="仿宋" w:hAnsi="仿宋" w:eastAsia="仿宋" w:cs="仿宋"/>
          <w:b w:val="0"/>
          <w:color w:val="auto"/>
          <w:szCs w:val="24"/>
          <w:highlight w:val="none"/>
        </w:rPr>
        <w:t>活动中有以下情形之一的，贵司可将我方列入黑名单并对外公示，禁止我方3年内参加贵司及下属企业的采购活动；造成经济损失的，我方承担全额赔偿责任；涉嫌违法犯罪的，移交相关部门依法处理：</w:t>
      </w:r>
    </w:p>
    <w:p w14:paraId="2D2BADDF">
      <w:pPr>
        <w:pStyle w:val="76"/>
        <w:tabs>
          <w:tab w:val="left" w:pos="567"/>
        </w:tabs>
        <w:spacing w:line="400" w:lineRule="exact"/>
        <w:ind w:left="39" w:firstLine="480"/>
        <w:rPr>
          <w:rFonts w:ascii="仿宋" w:hAnsi="仿宋" w:eastAsia="仿宋" w:cs="仿宋"/>
          <w:b w:val="0"/>
          <w:color w:val="auto"/>
          <w:szCs w:val="24"/>
          <w:highlight w:val="none"/>
        </w:rPr>
      </w:pPr>
      <w:r>
        <w:rPr>
          <w:rFonts w:hint="eastAsia" w:ascii="仿宋" w:hAnsi="仿宋" w:eastAsia="仿宋" w:cs="仿宋"/>
          <w:b w:val="0"/>
          <w:color w:val="auto"/>
          <w:szCs w:val="24"/>
          <w:highlight w:val="none"/>
        </w:rPr>
        <w:t>（1）与其他</w:t>
      </w:r>
      <w:r>
        <w:rPr>
          <w:rFonts w:hint="eastAsia" w:ascii="仿宋" w:hAnsi="仿宋" w:eastAsia="仿宋" w:cs="仿宋"/>
          <w:b w:val="0"/>
          <w:color w:val="auto"/>
          <w:szCs w:val="24"/>
          <w:highlight w:val="none"/>
          <w:lang w:val="en-US" w:eastAsia="zh-CN"/>
        </w:rPr>
        <w:t>投标方</w:t>
      </w:r>
      <w:r>
        <w:rPr>
          <w:rFonts w:hint="eastAsia" w:ascii="仿宋" w:hAnsi="仿宋" w:eastAsia="仿宋" w:cs="仿宋"/>
          <w:b w:val="0"/>
          <w:color w:val="auto"/>
          <w:szCs w:val="24"/>
          <w:highlight w:val="none"/>
        </w:rPr>
        <w:t>相互串通，事先商定中标（成交）价或者合谋使特定人中标（成交）的；</w:t>
      </w:r>
    </w:p>
    <w:p w14:paraId="6B3F0D74">
      <w:pPr>
        <w:pStyle w:val="76"/>
        <w:tabs>
          <w:tab w:val="left" w:pos="567"/>
        </w:tabs>
        <w:spacing w:line="400" w:lineRule="exact"/>
        <w:ind w:left="39" w:firstLine="480"/>
        <w:rPr>
          <w:rFonts w:ascii="仿宋" w:hAnsi="仿宋" w:eastAsia="仿宋" w:cs="仿宋"/>
          <w:b w:val="0"/>
          <w:color w:val="auto"/>
          <w:szCs w:val="24"/>
          <w:highlight w:val="none"/>
        </w:rPr>
      </w:pPr>
      <w:r>
        <w:rPr>
          <w:rFonts w:hint="eastAsia" w:ascii="仿宋" w:hAnsi="仿宋" w:eastAsia="仿宋" w:cs="仿宋"/>
          <w:b w:val="0"/>
          <w:color w:val="auto"/>
          <w:szCs w:val="24"/>
          <w:highlight w:val="none"/>
        </w:rPr>
        <w:t>（2）采用不正当手段妨碍、排挤其他</w:t>
      </w:r>
      <w:r>
        <w:rPr>
          <w:rFonts w:hint="eastAsia" w:ascii="仿宋" w:hAnsi="仿宋" w:eastAsia="仿宋" w:cs="仿宋"/>
          <w:b w:val="0"/>
          <w:color w:val="auto"/>
          <w:szCs w:val="24"/>
          <w:highlight w:val="none"/>
          <w:lang w:eastAsia="zh-CN"/>
        </w:rPr>
        <w:t>投标人</w:t>
      </w:r>
      <w:r>
        <w:rPr>
          <w:rFonts w:hint="eastAsia" w:ascii="仿宋" w:hAnsi="仿宋" w:eastAsia="仿宋" w:cs="仿宋"/>
          <w:b w:val="0"/>
          <w:color w:val="auto"/>
          <w:szCs w:val="24"/>
          <w:highlight w:val="none"/>
        </w:rPr>
        <w:t>参与竞争的；</w:t>
      </w:r>
    </w:p>
    <w:p w14:paraId="3A04540C">
      <w:pPr>
        <w:pStyle w:val="76"/>
        <w:tabs>
          <w:tab w:val="left" w:pos="567"/>
        </w:tabs>
        <w:spacing w:line="400" w:lineRule="exact"/>
        <w:ind w:left="39" w:firstLine="480"/>
        <w:rPr>
          <w:rFonts w:ascii="仿宋" w:hAnsi="仿宋" w:eastAsia="仿宋" w:cs="仿宋"/>
          <w:b w:val="0"/>
          <w:color w:val="auto"/>
          <w:szCs w:val="24"/>
          <w:highlight w:val="none"/>
        </w:rPr>
      </w:pPr>
      <w:r>
        <w:rPr>
          <w:rFonts w:hint="eastAsia" w:ascii="仿宋" w:hAnsi="仿宋" w:eastAsia="仿宋" w:cs="仿宋"/>
          <w:b w:val="0"/>
          <w:color w:val="auto"/>
          <w:szCs w:val="24"/>
          <w:highlight w:val="none"/>
        </w:rPr>
        <w:t>（3）不按规定签订、履行采购合同，造成严重后果的；</w:t>
      </w:r>
    </w:p>
    <w:p w14:paraId="7B5D2C86">
      <w:pPr>
        <w:pStyle w:val="76"/>
        <w:tabs>
          <w:tab w:val="left" w:pos="567"/>
        </w:tabs>
        <w:spacing w:line="400" w:lineRule="exact"/>
        <w:ind w:left="39" w:firstLine="480"/>
        <w:rPr>
          <w:rFonts w:ascii="仿宋" w:hAnsi="仿宋" w:eastAsia="仿宋" w:cs="仿宋"/>
          <w:b w:val="0"/>
          <w:color w:val="auto"/>
          <w:szCs w:val="24"/>
          <w:highlight w:val="none"/>
        </w:rPr>
      </w:pPr>
      <w:r>
        <w:rPr>
          <w:rFonts w:hint="eastAsia" w:ascii="仿宋" w:hAnsi="仿宋" w:eastAsia="仿宋" w:cs="仿宋"/>
          <w:b w:val="0"/>
          <w:color w:val="auto"/>
          <w:szCs w:val="24"/>
          <w:highlight w:val="none"/>
        </w:rPr>
        <w:t>（4）将中标（成交）项目转包给他人，或者在响应文件中未说明且未经公司同意，将中标（成交）项目分包给他人的；</w:t>
      </w:r>
    </w:p>
    <w:p w14:paraId="38731ACA">
      <w:pPr>
        <w:pStyle w:val="76"/>
        <w:tabs>
          <w:tab w:val="left" w:pos="567"/>
        </w:tabs>
        <w:spacing w:line="400" w:lineRule="exact"/>
        <w:ind w:left="39" w:firstLine="480"/>
        <w:rPr>
          <w:rFonts w:ascii="仿宋" w:hAnsi="仿宋" w:eastAsia="仿宋" w:cs="仿宋"/>
          <w:b w:val="0"/>
          <w:color w:val="auto"/>
          <w:szCs w:val="24"/>
          <w:highlight w:val="none"/>
        </w:rPr>
      </w:pPr>
      <w:r>
        <w:rPr>
          <w:rFonts w:hint="eastAsia" w:ascii="仿宋" w:hAnsi="仿宋" w:eastAsia="仿宋" w:cs="仿宋"/>
          <w:b w:val="0"/>
          <w:color w:val="auto"/>
          <w:szCs w:val="24"/>
          <w:highlight w:val="none"/>
        </w:rPr>
        <w:t>（5）隐瞒真实情况，虚假响应、承诺或提供虚假材料的；</w:t>
      </w:r>
    </w:p>
    <w:p w14:paraId="1FAD7BCC">
      <w:pPr>
        <w:pStyle w:val="76"/>
        <w:tabs>
          <w:tab w:val="left" w:pos="567"/>
        </w:tabs>
        <w:spacing w:line="400" w:lineRule="exact"/>
        <w:ind w:left="39" w:firstLine="480"/>
        <w:rPr>
          <w:rFonts w:ascii="仿宋" w:hAnsi="仿宋" w:eastAsia="仿宋" w:cs="仿宋"/>
          <w:b w:val="0"/>
          <w:color w:val="auto"/>
          <w:szCs w:val="24"/>
          <w:highlight w:val="none"/>
        </w:rPr>
      </w:pPr>
      <w:r>
        <w:rPr>
          <w:rFonts w:hint="eastAsia" w:ascii="仿宋" w:hAnsi="仿宋" w:eastAsia="仿宋" w:cs="仿宋"/>
          <w:b w:val="0"/>
          <w:color w:val="auto"/>
          <w:szCs w:val="24"/>
          <w:highlight w:val="none"/>
        </w:rPr>
        <w:t>（6）恶意投诉的；</w:t>
      </w:r>
    </w:p>
    <w:p w14:paraId="6AB5D1EE">
      <w:pPr>
        <w:pStyle w:val="76"/>
        <w:tabs>
          <w:tab w:val="left" w:pos="567"/>
        </w:tabs>
        <w:spacing w:line="400" w:lineRule="exact"/>
        <w:ind w:left="39" w:firstLine="480"/>
        <w:rPr>
          <w:rFonts w:ascii="仿宋" w:hAnsi="仿宋" w:eastAsia="仿宋" w:cs="仿宋"/>
          <w:b w:val="0"/>
          <w:color w:val="auto"/>
          <w:szCs w:val="24"/>
          <w:highlight w:val="none"/>
        </w:rPr>
      </w:pPr>
      <w:r>
        <w:rPr>
          <w:rFonts w:hint="eastAsia" w:ascii="仿宋" w:hAnsi="仿宋" w:eastAsia="仿宋" w:cs="仿宋"/>
          <w:b w:val="0"/>
          <w:color w:val="auto"/>
          <w:szCs w:val="24"/>
          <w:highlight w:val="none"/>
        </w:rPr>
        <w:t>（7）向</w:t>
      </w:r>
      <w:r>
        <w:rPr>
          <w:rFonts w:hint="eastAsia" w:ascii="仿宋" w:hAnsi="仿宋" w:eastAsia="仿宋" w:cs="仿宋"/>
          <w:b w:val="0"/>
          <w:color w:val="auto"/>
          <w:szCs w:val="24"/>
          <w:highlight w:val="none"/>
          <w:lang w:eastAsia="zh-CN"/>
        </w:rPr>
        <w:t>招标</w:t>
      </w:r>
      <w:r>
        <w:rPr>
          <w:rFonts w:hint="eastAsia" w:ascii="仿宋" w:hAnsi="仿宋" w:eastAsia="仿宋" w:cs="仿宋"/>
          <w:b w:val="0"/>
          <w:color w:val="auto"/>
          <w:szCs w:val="24"/>
          <w:highlight w:val="none"/>
        </w:rPr>
        <w:t>项目相关人行贿或者提供其他不正当利益的；</w:t>
      </w:r>
    </w:p>
    <w:p w14:paraId="0598FF79">
      <w:pPr>
        <w:pStyle w:val="76"/>
        <w:tabs>
          <w:tab w:val="left" w:pos="567"/>
        </w:tabs>
        <w:spacing w:line="400" w:lineRule="exact"/>
        <w:ind w:left="39" w:firstLine="480"/>
        <w:rPr>
          <w:rFonts w:ascii="仿宋" w:hAnsi="仿宋" w:eastAsia="仿宋" w:cs="仿宋"/>
          <w:b w:val="0"/>
          <w:color w:val="auto"/>
          <w:szCs w:val="24"/>
          <w:highlight w:val="none"/>
        </w:rPr>
      </w:pPr>
      <w:r>
        <w:rPr>
          <w:rFonts w:hint="eastAsia" w:ascii="仿宋" w:hAnsi="仿宋" w:eastAsia="仿宋" w:cs="仿宋"/>
          <w:b w:val="0"/>
          <w:color w:val="auto"/>
          <w:szCs w:val="24"/>
          <w:highlight w:val="none"/>
        </w:rPr>
        <w:t>（8）阻碍、抗拒招标人审查投标真实性的。</w:t>
      </w:r>
    </w:p>
    <w:p w14:paraId="3047D412">
      <w:pPr>
        <w:pStyle w:val="76"/>
        <w:tabs>
          <w:tab w:val="left" w:pos="567"/>
        </w:tabs>
        <w:spacing w:line="400" w:lineRule="exact"/>
        <w:ind w:left="39" w:firstLine="480"/>
        <w:rPr>
          <w:rFonts w:ascii="仿宋" w:hAnsi="仿宋" w:eastAsia="仿宋" w:cs="仿宋"/>
          <w:b w:val="0"/>
          <w:color w:val="auto"/>
          <w:szCs w:val="24"/>
          <w:highlight w:val="none"/>
        </w:rPr>
      </w:pPr>
      <w:r>
        <w:rPr>
          <w:rFonts w:hint="eastAsia" w:ascii="仿宋" w:hAnsi="仿宋" w:eastAsia="仿宋" w:cs="仿宋"/>
          <w:b w:val="0"/>
          <w:color w:val="auto"/>
          <w:szCs w:val="24"/>
          <w:highlight w:val="none"/>
        </w:rPr>
        <w:t>我司对上述内容的真实性负责，如有虚假，由此产生的一切责任和后果由我司自行承担。</w:t>
      </w:r>
    </w:p>
    <w:p w14:paraId="329257C7">
      <w:pPr>
        <w:spacing w:line="400" w:lineRule="exact"/>
        <w:ind w:left="0" w:firstLine="0"/>
        <w:jc w:val="both"/>
        <w:rPr>
          <w:rFonts w:ascii="仿宋" w:hAnsi="仿宋" w:eastAsia="仿宋" w:cs="仿宋"/>
          <w:color w:val="auto"/>
          <w:sz w:val="24"/>
          <w:highlight w:val="none"/>
        </w:rPr>
      </w:pPr>
    </w:p>
    <w:p w14:paraId="73C3E6DC">
      <w:pPr>
        <w:ind w:firstLine="1200" w:firstLineChars="500"/>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法定代表人或其授权委托人（</w:t>
      </w:r>
      <w:r>
        <w:rPr>
          <w:rFonts w:hint="eastAsia" w:ascii="仿宋" w:hAnsi="仿宋" w:eastAsia="仿宋" w:cs="仿宋"/>
          <w:b/>
          <w:color w:val="FF0000"/>
          <w:sz w:val="24"/>
          <w:highlight w:val="none"/>
        </w:rPr>
        <w:t>签名或盖私章</w:t>
      </w:r>
      <w:r>
        <w:rPr>
          <w:rFonts w:hint="eastAsia" w:ascii="仿宋" w:hAnsi="仿宋" w:eastAsia="仿宋" w:cs="仿宋"/>
          <w:color w:val="auto"/>
          <w:sz w:val="24"/>
          <w:highlight w:val="none"/>
        </w:rPr>
        <w:t>）：</w:t>
      </w:r>
    </w:p>
    <w:p w14:paraId="53B43B4A">
      <w:pPr>
        <w:ind w:left="39" w:firstLine="482"/>
        <w:jc w:val="left"/>
        <w:rPr>
          <w:rFonts w:ascii="仿宋" w:hAnsi="仿宋" w:eastAsia="仿宋" w:cs="仿宋"/>
          <w:color w:val="auto"/>
          <w:sz w:val="24"/>
          <w:highlight w:val="none"/>
        </w:rPr>
      </w:pPr>
    </w:p>
    <w:p w14:paraId="7F3D8131">
      <w:pPr>
        <w:ind w:firstLine="3600" w:firstLineChars="15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投标单位（</w:t>
      </w:r>
      <w:r>
        <w:rPr>
          <w:rFonts w:hint="eastAsia" w:ascii="仿宋" w:hAnsi="仿宋" w:eastAsia="仿宋" w:cs="仿宋"/>
          <w:b/>
          <w:color w:val="FF0000"/>
          <w:sz w:val="24"/>
          <w:highlight w:val="none"/>
        </w:rPr>
        <w:t>盖公章</w:t>
      </w:r>
      <w:r>
        <w:rPr>
          <w:rFonts w:hint="eastAsia" w:ascii="仿宋" w:hAnsi="仿宋" w:eastAsia="仿宋" w:cs="仿宋"/>
          <w:color w:val="auto"/>
          <w:sz w:val="24"/>
          <w:highlight w:val="none"/>
        </w:rPr>
        <w:t>）：</w:t>
      </w:r>
    </w:p>
    <w:p w14:paraId="50542266">
      <w:pPr>
        <w:ind w:left="39" w:firstLine="482"/>
        <w:jc w:val="left"/>
        <w:rPr>
          <w:rFonts w:ascii="仿宋" w:hAnsi="仿宋" w:eastAsia="仿宋" w:cs="仿宋"/>
          <w:color w:val="auto"/>
          <w:sz w:val="24"/>
          <w:highlight w:val="none"/>
        </w:rPr>
      </w:pPr>
    </w:p>
    <w:p w14:paraId="6F135F9F">
      <w:pPr>
        <w:ind w:left="39" w:firstLine="482"/>
        <w:jc w:val="right"/>
        <w:rPr>
          <w:color w:val="auto"/>
          <w:szCs w:val="21"/>
          <w:highlight w:val="none"/>
        </w:rPr>
      </w:pPr>
      <w:r>
        <w:rPr>
          <w:rFonts w:hint="eastAsia" w:ascii="仿宋" w:hAnsi="仿宋" w:eastAsia="仿宋" w:cs="仿宋"/>
          <w:color w:val="auto"/>
          <w:sz w:val="24"/>
          <w:highlight w:val="none"/>
        </w:rPr>
        <w:t>日期：    年  月  日</w:t>
      </w:r>
    </w:p>
    <w:p w14:paraId="576FD21F">
      <w:pPr>
        <w:widowControl/>
        <w:jc w:val="left"/>
        <w:rPr>
          <w:color w:val="auto"/>
          <w:szCs w:val="21"/>
          <w:highlight w:val="none"/>
        </w:rPr>
      </w:pPr>
      <w:r>
        <w:rPr>
          <w:color w:val="auto"/>
          <w:szCs w:val="21"/>
          <w:highlight w:val="none"/>
        </w:rPr>
        <w:br w:type="page"/>
      </w:r>
    </w:p>
    <w:p w14:paraId="6473C50C">
      <w:pPr>
        <w:pStyle w:val="6"/>
        <w:pageBreakBefore/>
        <w:spacing w:line="377" w:lineRule="auto"/>
        <w:jc w:val="center"/>
        <w:rPr>
          <w:rFonts w:ascii="宋体" w:hAnsi="宋体"/>
          <w:b w:val="0"/>
          <w:color w:val="auto"/>
          <w:sz w:val="36"/>
          <w:szCs w:val="28"/>
          <w:highlight w:val="none"/>
        </w:rPr>
      </w:pPr>
      <w:r>
        <w:rPr>
          <w:rFonts w:hint="default" w:ascii="宋体" w:hAnsi="宋体"/>
          <w:b w:val="0"/>
          <w:color w:val="auto"/>
          <w:sz w:val="36"/>
          <w:szCs w:val="28"/>
          <w:highlight w:val="none"/>
        </w:rPr>
        <w:t>四、投标保证金交纳情况说明</w:t>
      </w:r>
    </w:p>
    <w:p w14:paraId="5BC8E090">
      <w:pPr>
        <w:spacing w:line="360" w:lineRule="auto"/>
        <w:rPr>
          <w:rFonts w:hAnsi="宋体"/>
          <w:color w:val="auto"/>
          <w:szCs w:val="21"/>
          <w:highlight w:val="none"/>
        </w:rPr>
      </w:pPr>
    </w:p>
    <w:p w14:paraId="533F5B9B">
      <w:pPr>
        <w:spacing w:line="400" w:lineRule="exact"/>
        <w:ind w:left="39" w:firstLine="482"/>
        <w:jc w:val="left"/>
        <w:rPr>
          <w:rFonts w:ascii="仿宋" w:hAnsi="仿宋" w:eastAsia="仿宋" w:cs="仿宋"/>
          <w:color w:val="auto"/>
          <w:sz w:val="24"/>
          <w:highlight w:val="none"/>
        </w:rPr>
      </w:pPr>
      <w:r>
        <w:rPr>
          <w:rFonts w:hint="eastAsia" w:ascii="仿宋" w:hAnsi="仿宋" w:eastAsia="仿宋" w:cs="仿宋"/>
          <w:color w:val="auto"/>
          <w:sz w:val="24"/>
          <w:highlight w:val="none"/>
        </w:rPr>
        <w:t>致：深圳市宝安区建设工程监理有限公司</w:t>
      </w:r>
    </w:p>
    <w:p w14:paraId="54626112">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本单位已按           （项目名称）           项目（编号：）的招标文件要求，于年月日前以 转账 方式汇入指定账户（收款单位：深圳市宝安区建设工程监理有限公司，账号：</w:t>
      </w:r>
      <w:r>
        <w:rPr>
          <w:rFonts w:ascii="仿宋" w:hAnsi="仿宋" w:eastAsia="仿宋" w:cs="仿宋"/>
          <w:color w:val="auto"/>
          <w:sz w:val="24"/>
          <w:highlight w:val="none"/>
        </w:rPr>
        <w:t>11003856694702</w:t>
      </w:r>
      <w:r>
        <w:rPr>
          <w:rFonts w:hint="eastAsia" w:ascii="仿宋" w:hAnsi="仿宋" w:eastAsia="仿宋" w:cs="仿宋"/>
          <w:color w:val="auto"/>
          <w:sz w:val="24"/>
          <w:highlight w:val="none"/>
        </w:rPr>
        <w:t>，开户银行：平安银行深圳新城支行）。</w:t>
      </w:r>
    </w:p>
    <w:p w14:paraId="3F4394AE">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本单位投标保证金的汇款情况：</w:t>
      </w:r>
    </w:p>
    <w:p w14:paraId="41D3F0FE">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汇出时间：年月日</w:t>
      </w:r>
    </w:p>
    <w:p w14:paraId="2F74343B">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汇款金额：（大写）人民币元（小写：￥元）</w:t>
      </w:r>
    </w:p>
    <w:p w14:paraId="3BEB58A7">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汇款账户名称：  （应与投标时使用的账户名一致）   </w:t>
      </w:r>
    </w:p>
    <w:p w14:paraId="384E3CBF">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账    号：      （应与投标时使用的账号一致）     </w:t>
      </w:r>
    </w:p>
    <w:p w14:paraId="3AA60C3E">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开户银行：</w:t>
      </w:r>
    </w:p>
    <w:p w14:paraId="55F828C0">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开户行网点：</w:t>
      </w:r>
    </w:p>
    <w:p w14:paraId="2EF8A129">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本单位谨承诺上述资料是正确、真实的，如因上述证明与事实不符导致的一切损失，本单位保证承担赔偿等一切法律责任。</w:t>
      </w:r>
    </w:p>
    <w:p w14:paraId="10827265">
      <w:pPr>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投标保证金退回时，请按上述资料原路退回。</w:t>
      </w:r>
    </w:p>
    <w:p w14:paraId="13269212">
      <w:pPr>
        <w:spacing w:line="400" w:lineRule="exact"/>
        <w:ind w:firstLine="420" w:firstLineChars="200"/>
        <w:jc w:val="right"/>
        <w:rPr>
          <w:rFonts w:ascii="宋体" w:hAnsi="宋体"/>
          <w:highlight w:val="none"/>
        </w:rPr>
      </w:pPr>
    </w:p>
    <w:p w14:paraId="6CF8FB8C">
      <w:pPr>
        <w:ind w:firstLine="1200" w:firstLineChars="5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法定代表人或其授权委托人（</w:t>
      </w:r>
      <w:r>
        <w:rPr>
          <w:rFonts w:hint="eastAsia" w:ascii="仿宋" w:hAnsi="仿宋" w:eastAsia="仿宋" w:cs="仿宋"/>
          <w:b/>
          <w:color w:val="FF0000"/>
          <w:sz w:val="24"/>
          <w:highlight w:val="none"/>
        </w:rPr>
        <w:t>签名或盖私章</w:t>
      </w:r>
      <w:r>
        <w:rPr>
          <w:rFonts w:hint="eastAsia" w:ascii="仿宋" w:hAnsi="仿宋" w:eastAsia="仿宋" w:cs="仿宋"/>
          <w:sz w:val="24"/>
          <w:highlight w:val="none"/>
        </w:rPr>
        <w:t>）</w:t>
      </w:r>
      <w:r>
        <w:rPr>
          <w:rFonts w:hint="eastAsia" w:ascii="仿宋" w:hAnsi="仿宋" w:eastAsia="仿宋" w:cs="仿宋"/>
          <w:color w:val="000000" w:themeColor="text1"/>
          <w:sz w:val="24"/>
          <w:highlight w:val="none"/>
          <w14:textFill>
            <w14:solidFill>
              <w14:schemeClr w14:val="tx1"/>
            </w14:solidFill>
          </w14:textFill>
        </w:rPr>
        <w:t>：</w:t>
      </w:r>
    </w:p>
    <w:p w14:paraId="7DA0CE36">
      <w:pPr>
        <w:jc w:val="left"/>
        <w:rPr>
          <w:rFonts w:ascii="仿宋" w:hAnsi="仿宋" w:eastAsia="仿宋" w:cs="仿宋"/>
          <w:color w:val="000000" w:themeColor="text1"/>
          <w:sz w:val="24"/>
          <w:highlight w:val="none"/>
          <w14:textFill>
            <w14:solidFill>
              <w14:schemeClr w14:val="tx1"/>
            </w14:solidFill>
          </w14:textFill>
        </w:rPr>
      </w:pPr>
    </w:p>
    <w:p w14:paraId="63E17EA3">
      <w:pPr>
        <w:ind w:firstLine="3600" w:firstLineChars="15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投标单位（</w:t>
      </w:r>
      <w:r>
        <w:rPr>
          <w:rFonts w:hint="eastAsia" w:ascii="仿宋" w:hAnsi="仿宋" w:eastAsia="仿宋" w:cs="仿宋"/>
          <w:b/>
          <w:color w:val="FF0000"/>
          <w:sz w:val="24"/>
          <w:highlight w:val="none"/>
        </w:rPr>
        <w:t>盖公章</w:t>
      </w:r>
      <w:r>
        <w:rPr>
          <w:rFonts w:hint="eastAsia" w:ascii="仿宋" w:hAnsi="仿宋" w:eastAsia="仿宋" w:cs="仿宋"/>
          <w:color w:val="000000" w:themeColor="text1"/>
          <w:sz w:val="24"/>
          <w:highlight w:val="none"/>
          <w14:textFill>
            <w14:solidFill>
              <w14:schemeClr w14:val="tx1"/>
            </w14:solidFill>
          </w14:textFill>
        </w:rPr>
        <w:t>）：</w:t>
      </w:r>
    </w:p>
    <w:p w14:paraId="780131BB">
      <w:pPr>
        <w:jc w:val="left"/>
        <w:rPr>
          <w:rFonts w:ascii="仿宋" w:hAnsi="仿宋" w:eastAsia="仿宋" w:cs="仿宋"/>
          <w:color w:val="000000" w:themeColor="text1"/>
          <w:sz w:val="24"/>
          <w:highlight w:val="none"/>
          <w14:textFill>
            <w14:solidFill>
              <w14:schemeClr w14:val="tx1"/>
            </w14:solidFill>
          </w14:textFill>
        </w:rPr>
      </w:pPr>
    </w:p>
    <w:p w14:paraId="445EECDA">
      <w:pPr>
        <w:jc w:val="right"/>
        <w:rPr>
          <w:szCs w:val="21"/>
          <w:highlight w:val="none"/>
        </w:rPr>
      </w:pPr>
      <w:r>
        <w:rPr>
          <w:rFonts w:hint="eastAsia" w:ascii="仿宋" w:hAnsi="仿宋" w:eastAsia="仿宋" w:cs="仿宋"/>
          <w:color w:val="000000" w:themeColor="text1"/>
          <w:sz w:val="24"/>
          <w:highlight w:val="none"/>
          <w14:textFill>
            <w14:solidFill>
              <w14:schemeClr w14:val="tx1"/>
            </w14:solidFill>
          </w14:textFill>
        </w:rPr>
        <w:t>日期：    年  月  日</w:t>
      </w:r>
    </w:p>
    <w:p w14:paraId="328D3A53">
      <w:pPr>
        <w:spacing w:line="400" w:lineRule="exact"/>
        <w:ind w:firstLine="420" w:firstLineChars="200"/>
        <w:jc w:val="right"/>
        <w:rPr>
          <w:rFonts w:ascii="宋体" w:hAnsi="宋体"/>
          <w:highlight w:val="none"/>
        </w:rPr>
      </w:pPr>
    </w:p>
    <w:p w14:paraId="108AF958">
      <w:pPr>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单位名称：</w:t>
      </w:r>
    </w:p>
    <w:p w14:paraId="3E2D034A">
      <w:pPr>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单位地址：</w:t>
      </w:r>
    </w:p>
    <w:p w14:paraId="365BBD3B">
      <w:pPr>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 系 人：</w:t>
      </w:r>
    </w:p>
    <w:p w14:paraId="4D994552">
      <w:pPr>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单位电话：</w:t>
      </w:r>
    </w:p>
    <w:p w14:paraId="43EF9C5A">
      <w:pPr>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手    机：</w:t>
      </w:r>
    </w:p>
    <w:p w14:paraId="4B9FAD02">
      <w:pPr>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说明：</w:t>
      </w:r>
    </w:p>
    <w:p w14:paraId="2379685B">
      <w:pPr>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1、此说明一式</w:t>
      </w:r>
      <w:r>
        <w:rPr>
          <w:rFonts w:hint="eastAsia" w:ascii="仿宋" w:hAnsi="仿宋" w:eastAsia="仿宋" w:cs="仿宋"/>
          <w:color w:val="000000" w:themeColor="text1"/>
          <w:sz w:val="24"/>
          <w:highlight w:val="none"/>
          <w:lang w:val="en-US" w:eastAsia="zh-CN"/>
          <w14:textFill>
            <w14:solidFill>
              <w14:schemeClr w14:val="tx1"/>
            </w14:solidFill>
          </w14:textFill>
        </w:rPr>
        <w:t>三</w:t>
      </w:r>
      <w:r>
        <w:rPr>
          <w:rFonts w:hint="eastAsia" w:ascii="仿宋" w:hAnsi="仿宋" w:eastAsia="仿宋" w:cs="仿宋"/>
          <w:color w:val="000000" w:themeColor="text1"/>
          <w:sz w:val="24"/>
          <w:highlight w:val="none"/>
          <w14:textFill>
            <w14:solidFill>
              <w14:schemeClr w14:val="tx1"/>
            </w14:solidFill>
          </w14:textFill>
        </w:rPr>
        <w:t>份【附投标保证金的转账凭证复印件并加盖投标人公章，转账时请注明“项目编号+投标保证金”字样】，一份编入投标文件，一份</w:t>
      </w:r>
      <w:r>
        <w:rPr>
          <w:rFonts w:ascii="仿宋" w:hAnsi="仿宋" w:eastAsia="仿宋" w:cs="仿宋"/>
          <w:color w:val="000000" w:themeColor="text1"/>
          <w:sz w:val="24"/>
          <w:highlight w:val="none"/>
          <w14:textFill>
            <w14:solidFill>
              <w14:schemeClr w14:val="tx1"/>
            </w14:solidFill>
          </w14:textFill>
        </w:rPr>
        <w:t>与</w:t>
      </w:r>
      <w:r>
        <w:rPr>
          <w:rFonts w:hint="eastAsia" w:ascii="仿宋" w:hAnsi="仿宋" w:eastAsia="仿宋" w:cs="仿宋"/>
          <w:color w:val="000000" w:themeColor="text1"/>
          <w:sz w:val="24"/>
          <w:highlight w:val="none"/>
          <w14:textFill>
            <w14:solidFill>
              <w14:schemeClr w14:val="tx1"/>
            </w14:solidFill>
          </w14:textFill>
        </w:rPr>
        <w:t>《</w:t>
      </w:r>
      <w:r>
        <w:rPr>
          <w:rFonts w:ascii="仿宋" w:hAnsi="仿宋" w:eastAsia="仿宋" w:cs="仿宋"/>
          <w:color w:val="000000" w:themeColor="text1"/>
          <w:sz w:val="24"/>
          <w:highlight w:val="none"/>
          <w14:textFill>
            <w14:solidFill>
              <w14:schemeClr w14:val="tx1"/>
            </w14:solidFill>
          </w14:textFill>
        </w:rPr>
        <w:t>报价一览表</w:t>
      </w:r>
      <w:r>
        <w:rPr>
          <w:rFonts w:hint="eastAsia" w:ascii="仿宋" w:hAnsi="仿宋" w:eastAsia="仿宋" w:cs="仿宋"/>
          <w:color w:val="000000" w:themeColor="text1"/>
          <w:sz w:val="24"/>
          <w:highlight w:val="none"/>
          <w14:textFill>
            <w14:solidFill>
              <w14:schemeClr w14:val="tx1"/>
            </w14:solidFill>
          </w14:textFill>
        </w:rPr>
        <w:t>》</w:t>
      </w:r>
      <w:r>
        <w:rPr>
          <w:rFonts w:ascii="仿宋" w:hAnsi="仿宋" w:eastAsia="仿宋" w:cs="仿宋"/>
          <w:color w:val="000000" w:themeColor="text1"/>
          <w:sz w:val="24"/>
          <w:highlight w:val="none"/>
          <w14:textFill>
            <w14:solidFill>
              <w14:schemeClr w14:val="tx1"/>
            </w14:solidFill>
          </w14:textFill>
        </w:rPr>
        <w:t>装入同一单独信封在投标时密封提交</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一份备注公司名称+项目编号+投标保证金</w:t>
      </w:r>
      <w:r>
        <w:rPr>
          <w:rFonts w:hint="eastAsia" w:ascii="仿宋" w:hAnsi="仿宋" w:eastAsia="仿宋" w:cs="仿宋"/>
          <w:i w:val="0"/>
          <w:iCs w:val="0"/>
          <w:caps w:val="0"/>
          <w:color w:val="000000" w:themeColor="text1"/>
          <w:spacing w:val="0"/>
          <w:sz w:val="24"/>
          <w:szCs w:val="24"/>
          <w:highlight w:val="none"/>
          <w:shd w:val="clear"/>
          <w14:textFill>
            <w14:solidFill>
              <w14:schemeClr w14:val="tx1"/>
            </w14:solidFill>
          </w14:textFill>
        </w:rPr>
        <w:t>发送至我司邮箱：bajl001@163.com</w:t>
      </w:r>
      <w:r>
        <w:rPr>
          <w:rFonts w:hint="eastAsia" w:ascii="仿宋" w:hAnsi="仿宋" w:eastAsia="仿宋" w:cs="仿宋"/>
          <w:color w:val="000000" w:themeColor="text1"/>
          <w:sz w:val="24"/>
          <w:highlight w:val="none"/>
          <w14:textFill>
            <w14:solidFill>
              <w14:schemeClr w14:val="tx1"/>
            </w14:solidFill>
          </w14:textFill>
        </w:rPr>
        <w:t>。</w:t>
      </w:r>
    </w:p>
    <w:p w14:paraId="3DC41D0E">
      <w:pPr>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2、如单位名称改变的，还需提供工商部门出具的“名称变更核准通知书”并加盖投标人公章。</w:t>
      </w:r>
    </w:p>
    <w:p w14:paraId="66CE615C">
      <w:pPr>
        <w:jc w:val="right"/>
        <w:rPr>
          <w:rFonts w:ascii="仿宋" w:hAnsi="仿宋" w:eastAsia="仿宋" w:cs="仿宋"/>
          <w:color w:val="auto"/>
          <w:szCs w:val="21"/>
          <w:highlight w:val="none"/>
        </w:rPr>
      </w:pPr>
      <w:r>
        <w:rPr>
          <w:rFonts w:ascii="仿宋" w:hAnsi="仿宋" w:eastAsia="仿宋" w:cs="仿宋"/>
          <w:color w:val="auto"/>
          <w:szCs w:val="21"/>
          <w:highlight w:val="none"/>
        </w:rPr>
        <w:t xml:space="preserve">           </w:t>
      </w:r>
    </w:p>
    <w:p w14:paraId="1164761B">
      <w:pPr>
        <w:pStyle w:val="2"/>
        <w:rPr>
          <w:color w:val="auto"/>
          <w:highlight w:val="none"/>
        </w:rPr>
      </w:pPr>
    </w:p>
    <w:p w14:paraId="440B8CFC">
      <w:pPr>
        <w:rPr>
          <w:color w:val="auto"/>
          <w:highlight w:val="none"/>
        </w:rPr>
      </w:pPr>
    </w:p>
    <w:p w14:paraId="38E43E4C">
      <w:pPr>
        <w:pStyle w:val="6"/>
        <w:pageBreakBefore/>
        <w:spacing w:before="0" w:line="377" w:lineRule="auto"/>
        <w:jc w:val="center"/>
        <w:rPr>
          <w:color w:val="auto"/>
          <w:highlight w:val="none"/>
        </w:rPr>
      </w:pPr>
      <w:r>
        <w:rPr>
          <w:rFonts w:hint="eastAsia" w:ascii="宋体" w:hAnsi="宋体"/>
          <w:b w:val="0"/>
          <w:color w:val="auto"/>
          <w:sz w:val="36"/>
          <w:highlight w:val="none"/>
          <w:lang w:val="en-US" w:eastAsia="zh-CN"/>
        </w:rPr>
        <w:t>五</w:t>
      </w:r>
      <w:r>
        <w:rPr>
          <w:rFonts w:hint="eastAsia" w:ascii="宋体" w:hAnsi="宋体"/>
          <w:b w:val="0"/>
          <w:color w:val="auto"/>
          <w:sz w:val="36"/>
          <w:highlight w:val="none"/>
        </w:rPr>
        <w:t>、法定代表人资格证明书</w:t>
      </w:r>
    </w:p>
    <w:p w14:paraId="2AAA42A7">
      <w:pPr>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致深圳市宝安区建设工程监理有限公司：</w:t>
      </w:r>
    </w:p>
    <w:p w14:paraId="15AAA283">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单位名称：</w:t>
      </w:r>
      <w:r>
        <w:rPr>
          <w:rFonts w:hint="eastAsia" w:ascii="仿宋" w:hAnsi="仿宋" w:eastAsia="仿宋" w:cs="仿宋"/>
          <w:color w:val="auto"/>
          <w:sz w:val="24"/>
          <w:highlight w:val="none"/>
          <w:u w:val="single"/>
        </w:rPr>
        <w:softHyphen/>
      </w:r>
      <w:r>
        <w:rPr>
          <w:rFonts w:hint="eastAsia" w:ascii="仿宋" w:hAnsi="仿宋" w:eastAsia="仿宋" w:cs="仿宋"/>
          <w:color w:val="auto"/>
          <w:sz w:val="24"/>
          <w:highlight w:val="none"/>
          <w:u w:val="single"/>
        </w:rPr>
        <w:softHyphen/>
      </w:r>
      <w:r>
        <w:rPr>
          <w:rFonts w:hint="eastAsia" w:ascii="仿宋" w:hAnsi="仿宋" w:eastAsia="仿宋" w:cs="仿宋"/>
          <w:color w:val="auto"/>
          <w:sz w:val="24"/>
          <w:highlight w:val="none"/>
          <w:u w:val="single"/>
        </w:rPr>
        <w:softHyphen/>
      </w:r>
      <w:r>
        <w:rPr>
          <w:rFonts w:hint="eastAsia" w:ascii="仿宋" w:hAnsi="仿宋" w:eastAsia="仿宋" w:cs="仿宋"/>
          <w:color w:val="auto"/>
          <w:sz w:val="24"/>
          <w:highlight w:val="none"/>
          <w:u w:val="single"/>
        </w:rPr>
        <w:softHyphen/>
      </w:r>
      <w:r>
        <w:rPr>
          <w:rFonts w:hint="eastAsia" w:ascii="仿宋" w:hAnsi="仿宋" w:eastAsia="仿宋" w:cs="仿宋"/>
          <w:color w:val="auto"/>
          <w:sz w:val="24"/>
          <w:highlight w:val="none"/>
          <w:u w:val="single"/>
        </w:rPr>
        <w:softHyphen/>
      </w:r>
    </w:p>
    <w:p w14:paraId="2EF6FB75">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w:t>
      </w:r>
    </w:p>
    <w:p w14:paraId="1D12E675">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姓    名：     性别：    年龄：</w:t>
      </w:r>
    </w:p>
    <w:p w14:paraId="6FB1B89D">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身份证号码：   职务：</w:t>
      </w:r>
    </w:p>
    <w:p w14:paraId="7AA4F0DF">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我系</w:t>
      </w:r>
      <w:r>
        <w:rPr>
          <w:rFonts w:hint="eastAsia" w:ascii="仿宋" w:hAnsi="仿宋" w:eastAsia="仿宋" w:cs="仿宋"/>
          <w:color w:val="auto"/>
          <w:sz w:val="24"/>
          <w:highlight w:val="none"/>
          <w:u w:val="single"/>
        </w:rPr>
        <w:t xml:space="preserve">  投标人名称 </w:t>
      </w:r>
      <w:r>
        <w:rPr>
          <w:rFonts w:hint="eastAsia" w:ascii="仿宋" w:hAnsi="仿宋" w:eastAsia="仿宋" w:cs="仿宋"/>
          <w:color w:val="auto"/>
          <w:sz w:val="24"/>
          <w:highlight w:val="none"/>
        </w:rPr>
        <w:t>的法定代表人。本证明书用于</w:t>
      </w:r>
      <w:r>
        <w:rPr>
          <w:rFonts w:hint="eastAsia" w:ascii="仿宋" w:hAnsi="仿宋" w:eastAsia="仿宋" w:cs="仿宋"/>
          <w:color w:val="auto"/>
          <w:sz w:val="24"/>
          <w:highlight w:val="none"/>
          <w:u w:val="single"/>
        </w:rPr>
        <w:t xml:space="preserve"> 投标人名称 </w:t>
      </w:r>
      <w:r>
        <w:rPr>
          <w:rFonts w:hint="eastAsia" w:ascii="仿宋" w:hAnsi="仿宋" w:eastAsia="仿宋" w:cs="仿宋"/>
          <w:color w:val="auto"/>
          <w:sz w:val="24"/>
          <w:highlight w:val="none"/>
        </w:rPr>
        <w:t>签署</w:t>
      </w:r>
      <w:r>
        <w:rPr>
          <w:rFonts w:hint="eastAsia" w:ascii="仿宋" w:hAnsi="仿宋" w:eastAsia="仿宋" w:cs="仿宋"/>
          <w:color w:val="auto"/>
          <w:sz w:val="24"/>
          <w:highlight w:val="none"/>
          <w:u w:val="single"/>
        </w:rPr>
        <w:t xml:space="preserve"> 项目名称（项目编号）</w:t>
      </w:r>
      <w:r>
        <w:rPr>
          <w:rFonts w:hint="eastAsia" w:ascii="仿宋" w:hAnsi="仿宋" w:eastAsia="仿宋" w:cs="仿宋"/>
          <w:color w:val="auto"/>
          <w:sz w:val="24"/>
          <w:highlight w:val="none"/>
        </w:rPr>
        <w:t>项目的投标文件、进行合同投标、签署合同和处理与之有关的一切事务。</w:t>
      </w:r>
    </w:p>
    <w:p w14:paraId="797D23F1">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46F4DF2B">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日  期：    年  月  日</w:t>
      </w:r>
    </w:p>
    <w:p w14:paraId="5A04949B">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注：法定代表人为企业事业单位、国家机关、社会团体的主要行政负责人。</w:t>
      </w:r>
    </w:p>
    <w:p w14:paraId="18521CB0">
      <w:pPr>
        <w:snapToGrid w:val="0"/>
        <w:rPr>
          <w:rFonts w:ascii="仿宋" w:hAnsi="仿宋" w:eastAsia="仿宋" w:cs="仿宋"/>
          <w:bCs/>
          <w:color w:val="auto"/>
          <w:sz w:val="24"/>
          <w:highlight w:val="none"/>
        </w:rPr>
      </w:pPr>
    </w:p>
    <w:p w14:paraId="569A6C12">
      <w:pPr>
        <w:spacing w:line="360" w:lineRule="auto"/>
        <w:rPr>
          <w:rFonts w:ascii="仿宋" w:hAnsi="仿宋" w:eastAsia="仿宋" w:cs="仿宋"/>
          <w:bCs/>
          <w:color w:val="auto"/>
          <w:sz w:val="24"/>
          <w:highlight w:val="none"/>
        </w:rPr>
      </w:pP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3000375</wp:posOffset>
                </wp:positionH>
                <wp:positionV relativeFrom="paragraph">
                  <wp:posOffset>107315</wp:posOffset>
                </wp:positionV>
                <wp:extent cx="2782570" cy="1476375"/>
                <wp:effectExtent l="0" t="0" r="17780" b="28575"/>
                <wp:wrapNone/>
                <wp:docPr id="4" name="文本框 4"/>
                <wp:cNvGraphicFramePr/>
                <a:graphic xmlns:a="http://schemas.openxmlformats.org/drawingml/2006/main">
                  <a:graphicData uri="http://schemas.microsoft.com/office/word/2010/wordprocessingShape">
                    <wps:wsp>
                      <wps:cNvSpPr txBox="1"/>
                      <wps:spPr>
                        <a:xfrm>
                          <a:off x="0" y="0"/>
                          <a:ext cx="2782570" cy="1476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0E9C4D4">
                            <w:pPr>
                              <w:widowControl/>
                              <w:jc w:val="left"/>
                              <w:rPr>
                                <w:rFonts w:ascii="宋体" w:hAnsi="宋体" w:cs="宋体"/>
                                <w:kern w:val="0"/>
                                <w:sz w:val="24"/>
                              </w:rPr>
                            </w:pPr>
                          </w:p>
                          <w:p w14:paraId="5FBC3013">
                            <w:pPr>
                              <w:widowControl/>
                              <w:jc w:val="left"/>
                            </w:pPr>
                          </w:p>
                          <w:p w14:paraId="444FCFC5">
                            <w:pPr>
                              <w:jc w:val="center"/>
                              <w:rPr>
                                <w:rFonts w:hint="eastAsia" w:ascii="仿宋" w:hAnsi="仿宋" w:eastAsia="仿宋" w:cs="仿宋"/>
                                <w:bCs/>
                                <w:sz w:val="22"/>
                                <w:szCs w:val="22"/>
                                <w:lang w:eastAsia="zh-CN"/>
                              </w:rPr>
                            </w:pPr>
                            <w:r>
                              <w:rPr>
                                <w:rFonts w:hint="eastAsia" w:ascii="仿宋" w:hAnsi="仿宋" w:eastAsia="仿宋" w:cs="仿宋"/>
                                <w:bCs/>
                                <w:sz w:val="22"/>
                                <w:szCs w:val="22"/>
                              </w:rPr>
                              <w:t>法定代表人</w:t>
                            </w:r>
                          </w:p>
                          <w:p w14:paraId="3CF5FDF9">
                            <w:pPr>
                              <w:jc w:val="center"/>
                              <w:rPr>
                                <w:rFonts w:ascii="仿宋" w:hAnsi="仿宋" w:eastAsia="仿宋" w:cs="仿宋"/>
                                <w:bCs/>
                                <w:sz w:val="28"/>
                                <w:szCs w:val="28"/>
                              </w:rPr>
                            </w:pPr>
                            <w:r>
                              <w:rPr>
                                <w:rFonts w:hint="eastAsia" w:ascii="仿宋" w:hAnsi="仿宋" w:eastAsia="仿宋" w:cs="仿宋"/>
                                <w:bCs/>
                                <w:sz w:val="28"/>
                                <w:szCs w:val="28"/>
                              </w:rPr>
                              <w:t>身份证反面</w:t>
                            </w:r>
                          </w:p>
                        </w:txbxContent>
                      </wps:txbx>
                      <wps:bodyPr wrap="square" anchor="t" anchorCtr="0" upright="1">
                        <a:noAutofit/>
                      </wps:bodyPr>
                    </wps:wsp>
                  </a:graphicData>
                </a:graphic>
              </wp:anchor>
            </w:drawing>
          </mc:Choice>
          <mc:Fallback>
            <w:pict>
              <v:shape id="_x0000_s1026" o:spid="_x0000_s1026" o:spt="202" type="#_x0000_t202" style="position:absolute;left:0pt;margin-left:236.25pt;margin-top:8.45pt;height:116.25pt;width:219.1pt;z-index:251662336;mso-width-relative:page;mso-height-relative:page;" fillcolor="#FFFFFF" filled="t" stroked="t" coordsize="21600,21600" o:gfxdata="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BJcGu2QAAAAoBAAAPAAAAAAAAAAEAIAAAACIAAABkcnMvZG93bnJl&#10;di54bWxQSwECFAAUAAAACACHTuJA1LLppjUCAACGBAAADgAAAAAAAAABACAAAAAoAQAAZHJzL2Uy&#10;b0RvYy54bWxQSwUGAAAAAAYABgBZAQAAzwUAAAAA&#10;">
                <v:fill on="t" focussize="0,0"/>
                <v:stroke color="#000000" joinstyle="miter"/>
                <v:imagedata o:title=""/>
                <o:lock v:ext="edit" aspectratio="f"/>
                <v:textbox>
                  <w:txbxContent>
                    <w:p w14:paraId="70E9C4D4">
                      <w:pPr>
                        <w:widowControl/>
                        <w:jc w:val="left"/>
                        <w:rPr>
                          <w:rFonts w:ascii="宋体" w:hAnsi="宋体" w:cs="宋体"/>
                          <w:kern w:val="0"/>
                          <w:sz w:val="24"/>
                        </w:rPr>
                      </w:pPr>
                    </w:p>
                    <w:p w14:paraId="5FBC3013">
                      <w:pPr>
                        <w:widowControl/>
                        <w:jc w:val="left"/>
                      </w:pPr>
                    </w:p>
                    <w:p w14:paraId="444FCFC5">
                      <w:pPr>
                        <w:jc w:val="center"/>
                        <w:rPr>
                          <w:rFonts w:hint="eastAsia" w:ascii="仿宋" w:hAnsi="仿宋" w:eastAsia="仿宋" w:cs="仿宋"/>
                          <w:bCs/>
                          <w:sz w:val="22"/>
                          <w:szCs w:val="22"/>
                          <w:lang w:eastAsia="zh-CN"/>
                        </w:rPr>
                      </w:pPr>
                      <w:r>
                        <w:rPr>
                          <w:rFonts w:hint="eastAsia" w:ascii="仿宋" w:hAnsi="仿宋" w:eastAsia="仿宋" w:cs="仿宋"/>
                          <w:bCs/>
                          <w:sz w:val="22"/>
                          <w:szCs w:val="22"/>
                        </w:rPr>
                        <w:t>法定代表人</w:t>
                      </w:r>
                    </w:p>
                    <w:p w14:paraId="3CF5FDF9">
                      <w:pPr>
                        <w:jc w:val="center"/>
                        <w:rPr>
                          <w:rFonts w:ascii="仿宋" w:hAnsi="仿宋" w:eastAsia="仿宋" w:cs="仿宋"/>
                          <w:bCs/>
                          <w:sz w:val="28"/>
                          <w:szCs w:val="28"/>
                        </w:rPr>
                      </w:pPr>
                      <w:r>
                        <w:rPr>
                          <w:rFonts w:hint="eastAsia" w:ascii="仿宋" w:hAnsi="仿宋" w:eastAsia="仿宋" w:cs="仿宋"/>
                          <w:bCs/>
                          <w:sz w:val="28"/>
                          <w:szCs w:val="28"/>
                        </w:rPr>
                        <w:t>身份证反面</w:t>
                      </w:r>
                    </w:p>
                  </w:txbxContent>
                </v:textbox>
              </v:shape>
            </w:pict>
          </mc:Fallback>
        </mc:AlternateContent>
      </w: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106680</wp:posOffset>
                </wp:positionV>
                <wp:extent cx="2830830" cy="1476375"/>
                <wp:effectExtent l="0" t="0" r="26670" b="28575"/>
                <wp:wrapNone/>
                <wp:docPr id="3" name="文本框 3"/>
                <wp:cNvGraphicFramePr/>
                <a:graphic xmlns:a="http://schemas.openxmlformats.org/drawingml/2006/main">
                  <a:graphicData uri="http://schemas.microsoft.com/office/word/2010/wordprocessingShape">
                    <wps:wsp>
                      <wps:cNvSpPr txBox="1"/>
                      <wps:spPr>
                        <a:xfrm>
                          <a:off x="0" y="0"/>
                          <a:ext cx="2830830" cy="1476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601D42">
                            <w:pPr>
                              <w:widowControl/>
                              <w:jc w:val="left"/>
                              <w:rPr>
                                <w:rFonts w:ascii="宋体" w:hAnsi="宋体" w:cs="宋体"/>
                                <w:kern w:val="0"/>
                                <w:sz w:val="24"/>
                              </w:rPr>
                            </w:pPr>
                          </w:p>
                          <w:p w14:paraId="1FE17284">
                            <w:pPr>
                              <w:widowControl/>
                              <w:jc w:val="left"/>
                            </w:pPr>
                          </w:p>
                          <w:p w14:paraId="649C1678">
                            <w:pPr>
                              <w:jc w:val="center"/>
                              <w:rPr>
                                <w:rFonts w:hint="eastAsia" w:ascii="仿宋" w:hAnsi="仿宋" w:eastAsia="仿宋" w:cs="仿宋"/>
                                <w:bCs/>
                                <w:sz w:val="22"/>
                                <w:szCs w:val="22"/>
                                <w:lang w:eastAsia="zh-CN"/>
                              </w:rPr>
                            </w:pPr>
                            <w:r>
                              <w:rPr>
                                <w:rFonts w:hint="eastAsia" w:ascii="仿宋" w:hAnsi="仿宋" w:eastAsia="仿宋" w:cs="仿宋"/>
                                <w:bCs/>
                                <w:sz w:val="22"/>
                                <w:szCs w:val="22"/>
                              </w:rPr>
                              <w:t>法定代表人</w:t>
                            </w:r>
                          </w:p>
                          <w:p w14:paraId="30815471">
                            <w:pPr>
                              <w:jc w:val="center"/>
                              <w:rPr>
                                <w:rFonts w:ascii="仿宋" w:hAnsi="仿宋" w:eastAsia="仿宋" w:cs="仿宋"/>
                                <w:sz w:val="22"/>
                                <w:szCs w:val="28"/>
                              </w:rPr>
                            </w:pPr>
                            <w:r>
                              <w:rPr>
                                <w:rFonts w:hint="eastAsia" w:ascii="仿宋" w:hAnsi="仿宋" w:eastAsia="仿宋" w:cs="仿宋"/>
                                <w:bCs/>
                                <w:sz w:val="28"/>
                                <w:szCs w:val="28"/>
                              </w:rPr>
                              <w:t>身份证</w:t>
                            </w:r>
                            <w:r>
                              <w:rPr>
                                <w:rFonts w:hint="eastAsia" w:ascii="仿宋" w:hAnsi="仿宋" w:eastAsia="仿宋" w:cs="仿宋"/>
                                <w:sz w:val="28"/>
                                <w:szCs w:val="36"/>
                              </w:rPr>
                              <w:t>正面</w:t>
                            </w:r>
                          </w:p>
                        </w:txbxContent>
                      </wps:txbx>
                      <wps:bodyPr wrap="square" anchor="t" anchorCtr="0" upright="1">
                        <a:noAutofit/>
                      </wps:bodyPr>
                    </wps:wsp>
                  </a:graphicData>
                </a:graphic>
              </wp:anchor>
            </w:drawing>
          </mc:Choice>
          <mc:Fallback>
            <w:pict>
              <v:shape id="_x0000_s1026" o:spid="_x0000_s1026" o:spt="202" type="#_x0000_t202" style="position:absolute;left:0pt;margin-left:0.75pt;margin-top:8.4pt;height:116.25pt;width:222.9pt;z-index:251661312;mso-width-relative:page;mso-height-relative:page;" fillcolor="#FFFFFF" filled="t" stroked="t" coordsize="21600,21600" o:gfxdata="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XJNTtcAAAAIAQAADwAAAAAAAAABACAAAAAiAAAAZHJzL2Rvd25yZXYu&#10;eG1sUEsBAhQAFAAAAAgAh07iQF585vY1AgAAhgQAAA4AAAAAAAAAAQAgAAAAJgEAAGRycy9lMm9E&#10;b2MueG1sUEsFBgAAAAAGAAYAWQEAAM0FAAAAAA==&#10;">
                <v:fill on="t" focussize="0,0"/>
                <v:stroke color="#000000" joinstyle="miter"/>
                <v:imagedata o:title=""/>
                <o:lock v:ext="edit" aspectratio="f"/>
                <v:textbox>
                  <w:txbxContent>
                    <w:p w14:paraId="14601D42">
                      <w:pPr>
                        <w:widowControl/>
                        <w:jc w:val="left"/>
                        <w:rPr>
                          <w:rFonts w:ascii="宋体" w:hAnsi="宋体" w:cs="宋体"/>
                          <w:kern w:val="0"/>
                          <w:sz w:val="24"/>
                        </w:rPr>
                      </w:pPr>
                    </w:p>
                    <w:p w14:paraId="1FE17284">
                      <w:pPr>
                        <w:widowControl/>
                        <w:jc w:val="left"/>
                      </w:pPr>
                    </w:p>
                    <w:p w14:paraId="649C1678">
                      <w:pPr>
                        <w:jc w:val="center"/>
                        <w:rPr>
                          <w:rFonts w:hint="eastAsia" w:ascii="仿宋" w:hAnsi="仿宋" w:eastAsia="仿宋" w:cs="仿宋"/>
                          <w:bCs/>
                          <w:sz w:val="22"/>
                          <w:szCs w:val="22"/>
                          <w:lang w:eastAsia="zh-CN"/>
                        </w:rPr>
                      </w:pPr>
                      <w:r>
                        <w:rPr>
                          <w:rFonts w:hint="eastAsia" w:ascii="仿宋" w:hAnsi="仿宋" w:eastAsia="仿宋" w:cs="仿宋"/>
                          <w:bCs/>
                          <w:sz w:val="22"/>
                          <w:szCs w:val="22"/>
                        </w:rPr>
                        <w:t>法定代表人</w:t>
                      </w:r>
                    </w:p>
                    <w:p w14:paraId="30815471">
                      <w:pPr>
                        <w:jc w:val="center"/>
                        <w:rPr>
                          <w:rFonts w:ascii="仿宋" w:hAnsi="仿宋" w:eastAsia="仿宋" w:cs="仿宋"/>
                          <w:sz w:val="22"/>
                          <w:szCs w:val="28"/>
                        </w:rPr>
                      </w:pPr>
                      <w:r>
                        <w:rPr>
                          <w:rFonts w:hint="eastAsia" w:ascii="仿宋" w:hAnsi="仿宋" w:eastAsia="仿宋" w:cs="仿宋"/>
                          <w:bCs/>
                          <w:sz w:val="28"/>
                          <w:szCs w:val="28"/>
                        </w:rPr>
                        <w:t>身份证</w:t>
                      </w:r>
                      <w:r>
                        <w:rPr>
                          <w:rFonts w:hint="eastAsia" w:ascii="仿宋" w:hAnsi="仿宋" w:eastAsia="仿宋" w:cs="仿宋"/>
                          <w:sz w:val="28"/>
                          <w:szCs w:val="36"/>
                        </w:rPr>
                        <w:t>正面</w:t>
                      </w:r>
                    </w:p>
                  </w:txbxContent>
                </v:textbox>
              </v:shape>
            </w:pict>
          </mc:Fallback>
        </mc:AlternateContent>
      </w:r>
    </w:p>
    <w:p w14:paraId="7F7923C8">
      <w:pPr>
        <w:spacing w:line="360" w:lineRule="auto"/>
        <w:rPr>
          <w:rFonts w:ascii="仿宋" w:hAnsi="仿宋" w:eastAsia="仿宋" w:cs="仿宋"/>
          <w:bCs/>
          <w:color w:val="auto"/>
          <w:sz w:val="24"/>
          <w:highlight w:val="none"/>
        </w:rPr>
      </w:pPr>
    </w:p>
    <w:p w14:paraId="61C436E2">
      <w:pPr>
        <w:spacing w:line="360" w:lineRule="auto"/>
        <w:rPr>
          <w:rFonts w:ascii="仿宋" w:hAnsi="仿宋" w:eastAsia="仿宋" w:cs="仿宋"/>
          <w:bCs/>
          <w:color w:val="auto"/>
          <w:sz w:val="24"/>
          <w:highlight w:val="none"/>
        </w:rPr>
      </w:pPr>
    </w:p>
    <w:p w14:paraId="0CDD6CD9">
      <w:pPr>
        <w:spacing w:line="360" w:lineRule="auto"/>
        <w:rPr>
          <w:rFonts w:ascii="仿宋" w:hAnsi="仿宋" w:eastAsia="仿宋" w:cs="仿宋"/>
          <w:bCs/>
          <w:color w:val="auto"/>
          <w:sz w:val="24"/>
          <w:highlight w:val="none"/>
        </w:rPr>
      </w:pPr>
    </w:p>
    <w:p w14:paraId="7BF5354F">
      <w:pPr>
        <w:rPr>
          <w:rFonts w:ascii="仿宋" w:hAnsi="仿宋" w:eastAsia="仿宋" w:cs="仿宋"/>
          <w:color w:val="auto"/>
          <w:sz w:val="24"/>
          <w:highlight w:val="none"/>
        </w:rPr>
      </w:pPr>
    </w:p>
    <w:p w14:paraId="341499F4">
      <w:pPr>
        <w:rPr>
          <w:rFonts w:ascii="仿宋" w:hAnsi="仿宋" w:eastAsia="仿宋" w:cs="仿宋"/>
          <w:color w:val="auto"/>
          <w:sz w:val="24"/>
          <w:highlight w:val="none"/>
        </w:rPr>
      </w:pPr>
    </w:p>
    <w:p w14:paraId="6236ACCB">
      <w:pPr>
        <w:spacing w:after="60"/>
        <w:rPr>
          <w:rFonts w:ascii="仿宋" w:hAnsi="仿宋" w:eastAsia="仿宋" w:cs="仿宋"/>
          <w:color w:val="auto"/>
          <w:sz w:val="24"/>
          <w:highlight w:val="none"/>
        </w:rPr>
      </w:pPr>
    </w:p>
    <w:p w14:paraId="3A376389">
      <w:pPr>
        <w:snapToGrid w:val="0"/>
        <w:ind w:left="840" w:hanging="840" w:hangingChars="350"/>
        <w:rPr>
          <w:rFonts w:ascii="仿宋" w:hAnsi="仿宋" w:eastAsia="仿宋" w:cs="仿宋"/>
          <w:bCs/>
          <w:color w:val="auto"/>
          <w:sz w:val="24"/>
          <w:highlight w:val="none"/>
        </w:rPr>
      </w:pPr>
      <w:r>
        <w:rPr>
          <w:rFonts w:hint="eastAsia" w:ascii="仿宋" w:hAnsi="仿宋" w:eastAsia="仿宋" w:cs="仿宋"/>
          <w:bCs/>
          <w:color w:val="auto"/>
          <w:sz w:val="24"/>
          <w:highlight w:val="none"/>
        </w:rPr>
        <w:t>说明：</w:t>
      </w:r>
    </w:p>
    <w:p w14:paraId="4B783DF1">
      <w:pPr>
        <w:snapToGrid w:val="0"/>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1.本证明书要求投标人提供</w:t>
      </w:r>
      <w:r>
        <w:rPr>
          <w:rFonts w:hint="eastAsia" w:ascii="仿宋" w:hAnsi="仿宋" w:eastAsia="仿宋" w:cs="仿宋"/>
          <w:b/>
          <w:bCs/>
          <w:color w:val="FF0000"/>
          <w:sz w:val="24"/>
          <w:highlight w:val="none"/>
        </w:rPr>
        <w:t>加盖公章</w:t>
      </w:r>
      <w:r>
        <w:rPr>
          <w:rFonts w:hint="eastAsia" w:ascii="仿宋" w:hAnsi="仿宋" w:eastAsia="仿宋" w:cs="仿宋"/>
          <w:bCs/>
          <w:color w:val="auto"/>
          <w:sz w:val="24"/>
          <w:highlight w:val="none"/>
        </w:rPr>
        <w:t>后的原件方为有效；</w:t>
      </w:r>
    </w:p>
    <w:p w14:paraId="4AFCF5E3">
      <w:pPr>
        <w:snapToGrid w:val="0"/>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2.须提供法定代表人的身份证复印件；港澳台居民可提供来往通行证复印件；非中国国籍管辖范围人员，可提供公安部门认可的身份证明材料复印件；</w:t>
      </w:r>
    </w:p>
    <w:p w14:paraId="32F3A695">
      <w:pPr>
        <w:snapToGrid w:val="0"/>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3.招投标文件中涉及需法定代表人授权和签字（或</w:t>
      </w:r>
      <w:r>
        <w:rPr>
          <w:rFonts w:hint="eastAsia" w:ascii="仿宋" w:hAnsi="仿宋" w:eastAsia="仿宋" w:cs="仿宋"/>
          <w:color w:val="auto"/>
          <w:sz w:val="24"/>
          <w:highlight w:val="none"/>
        </w:rPr>
        <w:t>盖私章</w:t>
      </w:r>
      <w:r>
        <w:rPr>
          <w:rFonts w:hint="eastAsia" w:ascii="仿宋" w:hAnsi="仿宋" w:eastAsia="仿宋" w:cs="仿宋"/>
          <w:bCs/>
          <w:color w:val="auto"/>
          <w:sz w:val="24"/>
          <w:highlight w:val="none"/>
        </w:rPr>
        <w:t>）之处，非法人组织可由负责人或执行事务合伙人执行。</w:t>
      </w:r>
    </w:p>
    <w:p w14:paraId="7697094C">
      <w:pPr>
        <w:spacing w:after="124" w:afterLines="40"/>
        <w:ind w:firstLine="3600" w:firstLineChars="1500"/>
        <w:jc w:val="left"/>
        <w:rPr>
          <w:rFonts w:ascii="仿宋" w:hAnsi="仿宋" w:eastAsia="仿宋" w:cs="仿宋"/>
          <w:color w:val="auto"/>
          <w:sz w:val="24"/>
          <w:highlight w:val="none"/>
        </w:rPr>
      </w:pPr>
    </w:p>
    <w:p w14:paraId="13177D48">
      <w:pPr>
        <w:pStyle w:val="2"/>
        <w:rPr>
          <w:color w:val="auto"/>
          <w:sz w:val="24"/>
          <w:highlight w:val="none"/>
        </w:rPr>
      </w:pPr>
    </w:p>
    <w:p w14:paraId="45CA72C5">
      <w:pPr>
        <w:spacing w:after="124" w:afterLines="40"/>
        <w:ind w:firstLine="3600" w:firstLineChars="15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投标单位（</w:t>
      </w:r>
      <w:r>
        <w:rPr>
          <w:rFonts w:hint="eastAsia" w:ascii="仿宋" w:hAnsi="仿宋" w:eastAsia="仿宋" w:cs="仿宋"/>
          <w:b/>
          <w:color w:val="FF0000"/>
          <w:sz w:val="24"/>
          <w:highlight w:val="none"/>
        </w:rPr>
        <w:t>盖公章</w:t>
      </w:r>
      <w:r>
        <w:rPr>
          <w:rFonts w:hint="eastAsia" w:ascii="仿宋" w:hAnsi="仿宋" w:eastAsia="仿宋" w:cs="仿宋"/>
          <w:color w:val="auto"/>
          <w:sz w:val="24"/>
          <w:highlight w:val="none"/>
        </w:rPr>
        <w:t>）：</w:t>
      </w:r>
    </w:p>
    <w:p w14:paraId="5959B9BD">
      <w:pPr>
        <w:jc w:val="righ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CCECE48">
      <w:pPr>
        <w:pStyle w:val="6"/>
        <w:pageBreakBefore/>
        <w:spacing w:before="0" w:line="377" w:lineRule="auto"/>
        <w:jc w:val="center"/>
        <w:rPr>
          <w:rFonts w:ascii="宋体"/>
          <w:color w:val="auto"/>
          <w:highlight w:val="none"/>
        </w:rPr>
      </w:pPr>
      <w:r>
        <w:rPr>
          <w:rFonts w:hint="eastAsia" w:ascii="宋体" w:hAnsi="宋体"/>
          <w:b w:val="0"/>
          <w:color w:val="auto"/>
          <w:sz w:val="36"/>
          <w:highlight w:val="none"/>
          <w:lang w:val="en-US" w:eastAsia="zh-CN"/>
        </w:rPr>
        <w:t>六</w:t>
      </w:r>
      <w:r>
        <w:rPr>
          <w:rFonts w:hint="eastAsia" w:ascii="宋体" w:hAnsi="宋体"/>
          <w:b w:val="0"/>
          <w:color w:val="auto"/>
          <w:sz w:val="36"/>
          <w:highlight w:val="none"/>
        </w:rPr>
        <w:t>、法定代表人授权书</w:t>
      </w:r>
    </w:p>
    <w:p w14:paraId="328561CB">
      <w:pPr>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致深圳市宝安区建设工程监理有限公司：</w:t>
      </w:r>
    </w:p>
    <w:p w14:paraId="67D8BE4E">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姓名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投标人名称  </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姓名  </w:t>
      </w:r>
      <w:r>
        <w:rPr>
          <w:rFonts w:hint="eastAsia" w:ascii="仿宋" w:hAnsi="仿宋" w:eastAsia="仿宋" w:cs="仿宋"/>
          <w:color w:val="auto"/>
          <w:sz w:val="24"/>
          <w:highlight w:val="none"/>
        </w:rPr>
        <w:t>为我公司签署本项目已递交的投标文件的法定代表人的授权委托代理人，代理人全权代表我所签署的本项目已递交的投标文件内容我均承认。</w:t>
      </w:r>
    </w:p>
    <w:p w14:paraId="3964EED8">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代理人无转委托权，特此委托。</w:t>
      </w:r>
    </w:p>
    <w:p w14:paraId="438C4961">
      <w:pPr>
        <w:spacing w:line="400" w:lineRule="exact"/>
        <w:ind w:firstLine="480" w:firstLineChars="200"/>
        <w:rPr>
          <w:rFonts w:ascii="仿宋" w:hAnsi="仿宋" w:eastAsia="仿宋" w:cs="仿宋"/>
          <w:color w:val="auto"/>
          <w:sz w:val="24"/>
          <w:highlight w:val="none"/>
        </w:rPr>
      </w:pPr>
    </w:p>
    <w:p w14:paraId="59CBB30E">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代理人：   性别：  年龄：</w:t>
      </w:r>
    </w:p>
    <w:p w14:paraId="2DB5D7F9">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联系电话：         手机：</w:t>
      </w:r>
    </w:p>
    <w:p w14:paraId="3265672E">
      <w:pPr>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       职务：</w:t>
      </w:r>
    </w:p>
    <w:p w14:paraId="4A2C3B08">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w:t>
      </w:r>
    </w:p>
    <w:p w14:paraId="5B84E0DB">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法定代表人：</w:t>
      </w:r>
    </w:p>
    <w:p w14:paraId="231E67D4">
      <w:pPr>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授权委托日期：</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 xml:space="preserve">年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 xml:space="preserve">月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日</w:t>
      </w:r>
    </w:p>
    <w:p w14:paraId="1B67FA6D">
      <w:pPr>
        <w:spacing w:line="360" w:lineRule="auto"/>
        <w:rPr>
          <w:rFonts w:ascii="仿宋" w:hAnsi="仿宋" w:eastAsia="仿宋" w:cs="仿宋"/>
          <w:bCs/>
          <w:color w:val="auto"/>
          <w:sz w:val="24"/>
          <w:highlight w:val="none"/>
        </w:rPr>
      </w:pP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3000375</wp:posOffset>
                </wp:positionH>
                <wp:positionV relativeFrom="paragraph">
                  <wp:posOffset>101600</wp:posOffset>
                </wp:positionV>
                <wp:extent cx="2782570" cy="1333500"/>
                <wp:effectExtent l="0" t="0" r="17780" b="19050"/>
                <wp:wrapNone/>
                <wp:docPr id="2" name="文本框 2"/>
                <wp:cNvGraphicFramePr/>
                <a:graphic xmlns:a="http://schemas.openxmlformats.org/drawingml/2006/main">
                  <a:graphicData uri="http://schemas.microsoft.com/office/word/2010/wordprocessingShape">
                    <wps:wsp>
                      <wps:cNvSpPr txBox="1"/>
                      <wps:spPr>
                        <a:xfrm>
                          <a:off x="0" y="0"/>
                          <a:ext cx="2782570" cy="1333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E80E3E7">
                            <w:pPr>
                              <w:widowControl/>
                              <w:jc w:val="left"/>
                              <w:rPr>
                                <w:rFonts w:ascii="宋体" w:hAnsi="宋体" w:cs="宋体"/>
                                <w:kern w:val="0"/>
                                <w:sz w:val="24"/>
                              </w:rPr>
                            </w:pPr>
                          </w:p>
                          <w:p w14:paraId="2FDEC38F">
                            <w:pPr>
                              <w:widowControl/>
                              <w:jc w:val="left"/>
                            </w:pPr>
                          </w:p>
                          <w:p w14:paraId="3483BA3D">
                            <w:pPr>
                              <w:jc w:val="center"/>
                              <w:rPr>
                                <w:rFonts w:ascii="仿宋" w:hAnsi="仿宋" w:eastAsia="仿宋" w:cs="仿宋"/>
                                <w:bCs/>
                                <w:sz w:val="24"/>
                              </w:rPr>
                            </w:pPr>
                            <w:r>
                              <w:rPr>
                                <w:rFonts w:hint="eastAsia" w:ascii="仿宋" w:hAnsi="仿宋" w:eastAsia="仿宋" w:cs="仿宋"/>
                                <w:bCs/>
                                <w:sz w:val="24"/>
                              </w:rPr>
                              <w:t>被授权人</w:t>
                            </w:r>
                          </w:p>
                          <w:p w14:paraId="3D625D4B">
                            <w:pPr>
                              <w:jc w:val="center"/>
                              <w:rPr>
                                <w:rFonts w:ascii="仿宋" w:hAnsi="仿宋" w:eastAsia="仿宋" w:cs="仿宋"/>
                                <w:bCs/>
                                <w:sz w:val="28"/>
                                <w:szCs w:val="28"/>
                              </w:rPr>
                            </w:pPr>
                            <w:r>
                              <w:rPr>
                                <w:rFonts w:hint="eastAsia" w:ascii="仿宋" w:hAnsi="仿宋" w:eastAsia="仿宋" w:cs="仿宋"/>
                                <w:bCs/>
                                <w:sz w:val="28"/>
                                <w:szCs w:val="28"/>
                              </w:rPr>
                              <w:t>身份证反面</w:t>
                            </w:r>
                          </w:p>
                        </w:txbxContent>
                      </wps:txbx>
                      <wps:bodyPr wrap="square" anchor="t" anchorCtr="0" upright="1">
                        <a:noAutofit/>
                      </wps:bodyPr>
                    </wps:wsp>
                  </a:graphicData>
                </a:graphic>
              </wp:anchor>
            </w:drawing>
          </mc:Choice>
          <mc:Fallback>
            <w:pict>
              <v:shape id="_x0000_s1026" o:spid="_x0000_s1026" o:spt="202" type="#_x0000_t202" style="position:absolute;left:0pt;margin-left:236.25pt;margin-top:8pt;height:105pt;width:219.1pt;z-index:251664384;mso-width-relative:page;mso-height-relative:page;" fillcolor="#FFFFFF" filled="t" stroked="t" coordsize="21600,21600" o:gfxdata="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eddkdkAAAAKAQAADwAAAAAAAAABACAAAAAiAAAAZHJzL2Rvd25y&#10;ZXYueG1sUEsBAhQAFAAAAAgAh07iQCVzWwY2AgAAhgQAAA4AAAAAAAAAAQAgAAAAKAEAAGRycy9l&#10;Mm9Eb2MueG1sUEsFBgAAAAAGAAYAWQEAANAFAAAAAA==&#10;">
                <v:fill on="t" focussize="0,0"/>
                <v:stroke color="#000000" joinstyle="miter"/>
                <v:imagedata o:title=""/>
                <o:lock v:ext="edit" aspectratio="f"/>
                <v:textbox>
                  <w:txbxContent>
                    <w:p w14:paraId="2E80E3E7">
                      <w:pPr>
                        <w:widowControl/>
                        <w:jc w:val="left"/>
                        <w:rPr>
                          <w:rFonts w:ascii="宋体" w:hAnsi="宋体" w:cs="宋体"/>
                          <w:kern w:val="0"/>
                          <w:sz w:val="24"/>
                        </w:rPr>
                      </w:pPr>
                    </w:p>
                    <w:p w14:paraId="2FDEC38F">
                      <w:pPr>
                        <w:widowControl/>
                        <w:jc w:val="left"/>
                      </w:pPr>
                    </w:p>
                    <w:p w14:paraId="3483BA3D">
                      <w:pPr>
                        <w:jc w:val="center"/>
                        <w:rPr>
                          <w:rFonts w:ascii="仿宋" w:hAnsi="仿宋" w:eastAsia="仿宋" w:cs="仿宋"/>
                          <w:bCs/>
                          <w:sz w:val="24"/>
                        </w:rPr>
                      </w:pPr>
                      <w:r>
                        <w:rPr>
                          <w:rFonts w:hint="eastAsia" w:ascii="仿宋" w:hAnsi="仿宋" w:eastAsia="仿宋" w:cs="仿宋"/>
                          <w:bCs/>
                          <w:sz w:val="24"/>
                        </w:rPr>
                        <w:t>被授权人</w:t>
                      </w:r>
                    </w:p>
                    <w:p w14:paraId="3D625D4B">
                      <w:pPr>
                        <w:jc w:val="center"/>
                        <w:rPr>
                          <w:rFonts w:ascii="仿宋" w:hAnsi="仿宋" w:eastAsia="仿宋" w:cs="仿宋"/>
                          <w:bCs/>
                          <w:sz w:val="28"/>
                          <w:szCs w:val="28"/>
                        </w:rPr>
                      </w:pPr>
                      <w:r>
                        <w:rPr>
                          <w:rFonts w:hint="eastAsia" w:ascii="仿宋" w:hAnsi="仿宋" w:eastAsia="仿宋" w:cs="仿宋"/>
                          <w:bCs/>
                          <w:sz w:val="28"/>
                          <w:szCs w:val="28"/>
                        </w:rPr>
                        <w:t>身份证反面</w:t>
                      </w:r>
                    </w:p>
                  </w:txbxContent>
                </v:textbox>
              </v:shape>
            </w:pict>
          </mc:Fallback>
        </mc:AlternateContent>
      </w:r>
      <w:r>
        <w:rPr>
          <w:color w:val="auto"/>
          <w:highlight w:val="none"/>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109855</wp:posOffset>
                </wp:positionV>
                <wp:extent cx="2830830" cy="1314450"/>
                <wp:effectExtent l="0" t="0" r="26670" b="19050"/>
                <wp:wrapNone/>
                <wp:docPr id="1" name="文本框 1"/>
                <wp:cNvGraphicFramePr/>
                <a:graphic xmlns:a="http://schemas.openxmlformats.org/drawingml/2006/main">
                  <a:graphicData uri="http://schemas.microsoft.com/office/word/2010/wordprocessingShape">
                    <wps:wsp>
                      <wps:cNvSpPr txBox="1"/>
                      <wps:spPr>
                        <a:xfrm>
                          <a:off x="0" y="0"/>
                          <a:ext cx="2830830" cy="1314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E1D32CE">
                            <w:pPr>
                              <w:widowControl/>
                              <w:jc w:val="left"/>
                              <w:rPr>
                                <w:rFonts w:ascii="宋体" w:hAnsi="宋体" w:cs="宋体"/>
                                <w:kern w:val="0"/>
                                <w:sz w:val="24"/>
                              </w:rPr>
                            </w:pPr>
                          </w:p>
                          <w:p w14:paraId="6432237B">
                            <w:pPr>
                              <w:widowControl/>
                              <w:jc w:val="left"/>
                            </w:pPr>
                          </w:p>
                          <w:p w14:paraId="5EA2C4FD">
                            <w:pPr>
                              <w:jc w:val="center"/>
                              <w:rPr>
                                <w:rFonts w:ascii="仿宋" w:hAnsi="仿宋" w:eastAsia="仿宋" w:cs="仿宋"/>
                                <w:bCs/>
                                <w:sz w:val="24"/>
                              </w:rPr>
                            </w:pPr>
                            <w:r>
                              <w:rPr>
                                <w:rFonts w:hint="eastAsia" w:ascii="仿宋" w:hAnsi="仿宋" w:eastAsia="仿宋" w:cs="仿宋"/>
                                <w:bCs/>
                                <w:sz w:val="24"/>
                              </w:rPr>
                              <w:t>被授权人</w:t>
                            </w:r>
                          </w:p>
                          <w:p w14:paraId="2E769BE6">
                            <w:pPr>
                              <w:jc w:val="center"/>
                              <w:rPr>
                                <w:rFonts w:ascii="仿宋" w:hAnsi="仿宋" w:eastAsia="仿宋" w:cs="仿宋"/>
                                <w:bCs/>
                                <w:sz w:val="28"/>
                                <w:szCs w:val="28"/>
                              </w:rPr>
                            </w:pPr>
                            <w:r>
                              <w:rPr>
                                <w:rFonts w:hint="eastAsia" w:ascii="仿宋" w:hAnsi="仿宋" w:eastAsia="仿宋" w:cs="仿宋"/>
                                <w:bCs/>
                                <w:sz w:val="28"/>
                                <w:szCs w:val="28"/>
                              </w:rPr>
                              <w:t>身份证正面</w:t>
                            </w:r>
                          </w:p>
                        </w:txbxContent>
                      </wps:txbx>
                      <wps:bodyPr wrap="square" anchor="t" anchorCtr="0" upright="1">
                        <a:noAutofit/>
                      </wps:bodyPr>
                    </wps:wsp>
                  </a:graphicData>
                </a:graphic>
              </wp:anchor>
            </w:drawing>
          </mc:Choice>
          <mc:Fallback>
            <w:pict>
              <v:shape id="_x0000_s1026" o:spid="_x0000_s1026" o:spt="202" type="#_x0000_t202" style="position:absolute;left:0pt;margin-top:8.65pt;height:103.5pt;width:222.9pt;mso-position-horizontal:left;mso-position-horizontal-relative:margin;z-index:251663360;mso-width-relative:page;mso-height-relative:page;" fillcolor="#FFFFFF" filled="t" stroked="t" coordsize="21600,21600" o:gfxdata="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tJME3XAAAABwEAAA8AAAAAAAAAAQAgAAAAIgAAAGRycy9kb3ducmV2&#10;LnhtbFBLAQIUABQAAAAIAIdO4kC/BJpfNgIAAIYEAAAOAAAAAAAAAAEAIAAAACYBAABkcnMvZTJv&#10;RG9jLnhtbFBLBQYAAAAABgAGAFkBAADOBQAAAAA=&#10;">
                <v:fill on="t" focussize="0,0"/>
                <v:stroke color="#000000" joinstyle="miter"/>
                <v:imagedata o:title=""/>
                <o:lock v:ext="edit" aspectratio="f"/>
                <v:textbox>
                  <w:txbxContent>
                    <w:p w14:paraId="6E1D32CE">
                      <w:pPr>
                        <w:widowControl/>
                        <w:jc w:val="left"/>
                        <w:rPr>
                          <w:rFonts w:ascii="宋体" w:hAnsi="宋体" w:cs="宋体"/>
                          <w:kern w:val="0"/>
                          <w:sz w:val="24"/>
                        </w:rPr>
                      </w:pPr>
                    </w:p>
                    <w:p w14:paraId="6432237B">
                      <w:pPr>
                        <w:widowControl/>
                        <w:jc w:val="left"/>
                      </w:pPr>
                    </w:p>
                    <w:p w14:paraId="5EA2C4FD">
                      <w:pPr>
                        <w:jc w:val="center"/>
                        <w:rPr>
                          <w:rFonts w:ascii="仿宋" w:hAnsi="仿宋" w:eastAsia="仿宋" w:cs="仿宋"/>
                          <w:bCs/>
                          <w:sz w:val="24"/>
                        </w:rPr>
                      </w:pPr>
                      <w:r>
                        <w:rPr>
                          <w:rFonts w:hint="eastAsia" w:ascii="仿宋" w:hAnsi="仿宋" w:eastAsia="仿宋" w:cs="仿宋"/>
                          <w:bCs/>
                          <w:sz w:val="24"/>
                        </w:rPr>
                        <w:t>被授权人</w:t>
                      </w:r>
                    </w:p>
                    <w:p w14:paraId="2E769BE6">
                      <w:pPr>
                        <w:jc w:val="center"/>
                        <w:rPr>
                          <w:rFonts w:ascii="仿宋" w:hAnsi="仿宋" w:eastAsia="仿宋" w:cs="仿宋"/>
                          <w:bCs/>
                          <w:sz w:val="28"/>
                          <w:szCs w:val="28"/>
                        </w:rPr>
                      </w:pPr>
                      <w:r>
                        <w:rPr>
                          <w:rFonts w:hint="eastAsia" w:ascii="仿宋" w:hAnsi="仿宋" w:eastAsia="仿宋" w:cs="仿宋"/>
                          <w:bCs/>
                          <w:sz w:val="28"/>
                          <w:szCs w:val="28"/>
                        </w:rPr>
                        <w:t>身份证正面</w:t>
                      </w:r>
                    </w:p>
                  </w:txbxContent>
                </v:textbox>
              </v:shape>
            </w:pict>
          </mc:Fallback>
        </mc:AlternateContent>
      </w:r>
    </w:p>
    <w:p w14:paraId="18ADC352">
      <w:pPr>
        <w:spacing w:line="360" w:lineRule="auto"/>
        <w:rPr>
          <w:rFonts w:ascii="仿宋" w:hAnsi="仿宋" w:eastAsia="仿宋" w:cs="仿宋"/>
          <w:bCs/>
          <w:color w:val="auto"/>
          <w:sz w:val="24"/>
          <w:highlight w:val="none"/>
        </w:rPr>
      </w:pPr>
    </w:p>
    <w:p w14:paraId="36985CF5">
      <w:pPr>
        <w:spacing w:line="360" w:lineRule="auto"/>
        <w:rPr>
          <w:rFonts w:ascii="仿宋" w:hAnsi="仿宋" w:eastAsia="仿宋" w:cs="仿宋"/>
          <w:bCs/>
          <w:color w:val="auto"/>
          <w:sz w:val="24"/>
          <w:highlight w:val="none"/>
        </w:rPr>
      </w:pPr>
    </w:p>
    <w:p w14:paraId="1F3796D1">
      <w:pPr>
        <w:spacing w:line="360" w:lineRule="auto"/>
        <w:rPr>
          <w:rFonts w:ascii="仿宋" w:hAnsi="仿宋" w:eastAsia="仿宋" w:cs="仿宋"/>
          <w:bCs/>
          <w:color w:val="auto"/>
          <w:sz w:val="24"/>
          <w:highlight w:val="none"/>
        </w:rPr>
      </w:pPr>
    </w:p>
    <w:p w14:paraId="73779792">
      <w:pPr>
        <w:rPr>
          <w:rFonts w:ascii="仿宋" w:hAnsi="仿宋" w:eastAsia="仿宋" w:cs="仿宋"/>
          <w:color w:val="auto"/>
          <w:sz w:val="24"/>
          <w:highlight w:val="none"/>
        </w:rPr>
      </w:pPr>
    </w:p>
    <w:p w14:paraId="7BD68426">
      <w:pPr>
        <w:rPr>
          <w:rFonts w:ascii="仿宋" w:hAnsi="仿宋" w:eastAsia="仿宋" w:cs="仿宋"/>
          <w:color w:val="auto"/>
          <w:sz w:val="24"/>
          <w:highlight w:val="none"/>
        </w:rPr>
      </w:pPr>
    </w:p>
    <w:p w14:paraId="24342615">
      <w:pPr>
        <w:rPr>
          <w:rFonts w:ascii="仿宋" w:hAnsi="仿宋" w:eastAsia="仿宋" w:cs="仿宋"/>
          <w:bCs/>
          <w:color w:val="auto"/>
          <w:sz w:val="24"/>
          <w:highlight w:val="none"/>
        </w:rPr>
      </w:pPr>
    </w:p>
    <w:p w14:paraId="24B7C884">
      <w:pPr>
        <w:rPr>
          <w:rFonts w:ascii="仿宋" w:hAnsi="仿宋" w:eastAsia="仿宋" w:cs="仿宋"/>
          <w:bCs/>
          <w:color w:val="auto"/>
          <w:sz w:val="24"/>
          <w:highlight w:val="none"/>
        </w:rPr>
      </w:pPr>
      <w:r>
        <w:rPr>
          <w:rFonts w:hint="eastAsia" w:ascii="仿宋" w:hAnsi="仿宋" w:eastAsia="仿宋" w:cs="仿宋"/>
          <w:bCs/>
          <w:color w:val="auto"/>
          <w:sz w:val="24"/>
          <w:highlight w:val="none"/>
        </w:rPr>
        <w:t>说明：</w:t>
      </w:r>
    </w:p>
    <w:p w14:paraId="48E2372A">
      <w:pPr>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1.本授权委托书要求投标人提供有</w:t>
      </w:r>
      <w:r>
        <w:rPr>
          <w:rFonts w:hint="eastAsia" w:ascii="仿宋" w:hAnsi="仿宋" w:eastAsia="仿宋" w:cs="仿宋"/>
          <w:b/>
          <w:bCs/>
          <w:color w:val="FF0000"/>
          <w:sz w:val="24"/>
          <w:highlight w:val="none"/>
        </w:rPr>
        <w:t>法定代表人的签字（或盖私章）和加盖公章</w:t>
      </w:r>
      <w:r>
        <w:rPr>
          <w:rFonts w:hint="eastAsia" w:ascii="仿宋" w:hAnsi="仿宋" w:eastAsia="仿宋" w:cs="仿宋"/>
          <w:bCs/>
          <w:color w:val="auto"/>
          <w:sz w:val="24"/>
          <w:highlight w:val="none"/>
        </w:rPr>
        <w:t>后的原件方为有效；</w:t>
      </w:r>
    </w:p>
    <w:p w14:paraId="18F49F5B">
      <w:pPr>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2.提供被授权人的身份证复印件；港澳台居民可提供来往通行证复印件；非中国国籍管辖范围人员，可提供公安部门认可的身份证明材料复印件。</w:t>
      </w:r>
    </w:p>
    <w:p w14:paraId="148E3FAB">
      <w:pPr>
        <w:pStyle w:val="2"/>
        <w:rPr>
          <w:color w:val="auto"/>
          <w:sz w:val="24"/>
          <w:highlight w:val="none"/>
        </w:rPr>
      </w:pPr>
    </w:p>
    <w:p w14:paraId="75F7B43F">
      <w:pPr>
        <w:pStyle w:val="2"/>
        <w:rPr>
          <w:color w:val="auto"/>
          <w:sz w:val="24"/>
          <w:highlight w:val="none"/>
        </w:rPr>
      </w:pPr>
    </w:p>
    <w:p w14:paraId="66CBD489">
      <w:pPr>
        <w:rPr>
          <w:color w:val="auto"/>
          <w:sz w:val="24"/>
          <w:highlight w:val="none"/>
        </w:rPr>
      </w:pPr>
    </w:p>
    <w:p w14:paraId="011E7061">
      <w:pPr>
        <w:spacing w:after="124" w:afterLines="40"/>
        <w:ind w:firstLine="3600" w:firstLineChars="1500"/>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w:t>
      </w:r>
      <w:r>
        <w:rPr>
          <w:rFonts w:hint="eastAsia" w:ascii="仿宋" w:hAnsi="仿宋" w:eastAsia="仿宋" w:cs="仿宋"/>
          <w:b/>
          <w:color w:val="FF0000"/>
          <w:sz w:val="24"/>
          <w:highlight w:val="none"/>
        </w:rPr>
        <w:t>签名或盖私章</w:t>
      </w:r>
      <w:r>
        <w:rPr>
          <w:rFonts w:hint="eastAsia" w:ascii="仿宋" w:hAnsi="仿宋" w:eastAsia="仿宋" w:cs="仿宋"/>
          <w:color w:val="auto"/>
          <w:sz w:val="24"/>
          <w:highlight w:val="none"/>
        </w:rPr>
        <w:t>）：</w:t>
      </w:r>
    </w:p>
    <w:p w14:paraId="29967830">
      <w:pPr>
        <w:spacing w:after="124" w:afterLines="40"/>
        <w:ind w:firstLine="3600" w:firstLineChars="15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投标单位（</w:t>
      </w:r>
      <w:r>
        <w:rPr>
          <w:rFonts w:hint="eastAsia" w:ascii="仿宋" w:hAnsi="仿宋" w:eastAsia="仿宋" w:cs="仿宋"/>
          <w:b/>
          <w:color w:val="FF0000"/>
          <w:sz w:val="24"/>
          <w:highlight w:val="none"/>
        </w:rPr>
        <w:t>盖公章</w:t>
      </w:r>
      <w:r>
        <w:rPr>
          <w:rFonts w:hint="eastAsia" w:ascii="仿宋" w:hAnsi="仿宋" w:eastAsia="仿宋" w:cs="仿宋"/>
          <w:color w:val="auto"/>
          <w:sz w:val="24"/>
          <w:highlight w:val="none"/>
        </w:rPr>
        <w:t>）：</w:t>
      </w:r>
    </w:p>
    <w:p w14:paraId="2A60FBD1">
      <w:pPr>
        <w:jc w:val="righ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A6A7834">
      <w:pPr>
        <w:pStyle w:val="6"/>
        <w:pageBreakBefore/>
        <w:spacing w:before="0" w:line="377" w:lineRule="auto"/>
        <w:jc w:val="center"/>
        <w:rPr>
          <w:rFonts w:hint="eastAsia" w:ascii="宋体" w:hAnsi="宋体"/>
          <w:b w:val="0"/>
          <w:color w:val="auto"/>
          <w:sz w:val="36"/>
          <w:highlight w:val="none"/>
        </w:rPr>
      </w:pPr>
      <w:r>
        <w:rPr>
          <w:rFonts w:hint="eastAsia" w:ascii="宋体" w:hAnsi="宋体" w:eastAsia="黑体" w:cs="Times New Roman"/>
          <w:b w:val="0"/>
          <w:bCs/>
          <w:color w:val="auto"/>
          <w:sz w:val="36"/>
          <w:highlight w:val="none"/>
          <w:lang w:val="en-US" w:eastAsia="zh-CN"/>
        </w:rPr>
        <w:t>七</w:t>
      </w:r>
      <w:r>
        <w:rPr>
          <w:rFonts w:hint="eastAsia" w:ascii="宋体" w:hAnsi="宋体"/>
          <w:b w:val="0"/>
          <w:color w:val="auto"/>
          <w:sz w:val="36"/>
          <w:highlight w:val="none"/>
        </w:rPr>
        <w:t>、</w:t>
      </w:r>
      <w:r>
        <w:rPr>
          <w:rFonts w:hint="eastAsia" w:ascii="宋体" w:hAnsi="宋体"/>
          <w:b w:val="0"/>
          <w:color w:val="auto"/>
          <w:sz w:val="36"/>
          <w:highlight w:val="none"/>
          <w:lang w:eastAsia="zh-CN"/>
        </w:rPr>
        <w:t>投标人</w:t>
      </w:r>
      <w:r>
        <w:rPr>
          <w:rFonts w:hint="eastAsia" w:ascii="宋体" w:hAnsi="宋体"/>
          <w:b w:val="0"/>
          <w:color w:val="auto"/>
          <w:sz w:val="36"/>
          <w:highlight w:val="none"/>
        </w:rPr>
        <w:t>情况介绍</w:t>
      </w:r>
    </w:p>
    <w:p w14:paraId="1C9C6890">
      <w:pPr>
        <w:pStyle w:val="7"/>
        <w:jc w:val="center"/>
        <w:rPr>
          <w:rFonts w:ascii="黑体"/>
          <w:color w:val="auto"/>
          <w:highlight w:val="none"/>
        </w:rPr>
      </w:pPr>
      <w:r>
        <w:rPr>
          <w:rFonts w:hint="eastAsia" w:ascii="黑体"/>
          <w:color w:val="auto"/>
          <w:highlight w:val="none"/>
        </w:rPr>
        <w:t>（一）</w:t>
      </w:r>
      <w:r>
        <w:rPr>
          <w:rFonts w:hint="eastAsia" w:ascii="黑体"/>
          <w:color w:val="auto"/>
          <w:highlight w:val="none"/>
          <w:lang w:eastAsia="zh-CN"/>
        </w:rPr>
        <w:t>投标人</w:t>
      </w:r>
      <w:r>
        <w:rPr>
          <w:rFonts w:hint="eastAsia" w:ascii="黑体"/>
          <w:color w:val="auto"/>
          <w:highlight w:val="none"/>
        </w:rPr>
        <w:t>一览表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2898"/>
        <w:gridCol w:w="4316"/>
      </w:tblGrid>
      <w:tr w14:paraId="43D05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4" w:type="dxa"/>
            <w:vAlign w:val="center"/>
          </w:tcPr>
          <w:p w14:paraId="7CCA5524">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2898" w:type="dxa"/>
            <w:vAlign w:val="center"/>
          </w:tcPr>
          <w:p w14:paraId="250ED4A2">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项  目</w:t>
            </w:r>
          </w:p>
        </w:tc>
        <w:tc>
          <w:tcPr>
            <w:tcW w:w="4316" w:type="dxa"/>
            <w:vAlign w:val="center"/>
          </w:tcPr>
          <w:p w14:paraId="17FEB97F">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内容及说明</w:t>
            </w:r>
          </w:p>
        </w:tc>
      </w:tr>
      <w:tr w14:paraId="3FABB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4" w:type="dxa"/>
            <w:vMerge w:val="restart"/>
            <w:vAlign w:val="center"/>
          </w:tcPr>
          <w:p w14:paraId="1515AFAB">
            <w:pPr>
              <w:jc w:val="center"/>
              <w:rPr>
                <w:rFonts w:ascii="仿宋" w:hAnsi="仿宋" w:eastAsia="仿宋" w:cs="仿宋"/>
                <w:color w:val="auto"/>
                <w:sz w:val="24"/>
                <w:highlight w:val="none"/>
              </w:rPr>
            </w:pPr>
            <w:r>
              <w:rPr>
                <w:rFonts w:hint="eastAsia" w:ascii="仿宋" w:hAnsi="仿宋" w:eastAsia="仿宋" w:cs="仿宋"/>
                <w:color w:val="auto"/>
                <w:sz w:val="24"/>
                <w:highlight w:val="none"/>
              </w:rPr>
              <w:t>一</w:t>
            </w:r>
          </w:p>
        </w:tc>
        <w:tc>
          <w:tcPr>
            <w:tcW w:w="2898" w:type="dxa"/>
            <w:vAlign w:val="center"/>
          </w:tcPr>
          <w:p w14:paraId="4E7DF440">
            <w:pPr>
              <w:jc w:val="left"/>
              <w:rPr>
                <w:rFonts w:ascii="仿宋" w:hAnsi="仿宋" w:eastAsia="仿宋" w:cs="仿宋"/>
                <w:color w:val="auto"/>
                <w:sz w:val="24"/>
                <w:highlight w:val="none"/>
              </w:rPr>
            </w:pPr>
            <w:r>
              <w:rPr>
                <w:rFonts w:hint="eastAsia" w:ascii="仿宋" w:hAnsi="仿宋" w:eastAsia="仿宋" w:cs="仿宋"/>
                <w:color w:val="auto"/>
                <w:sz w:val="24"/>
                <w:highlight w:val="none"/>
              </w:rPr>
              <w:t>营业执照/事业单位法人证书或其他证明材料</w:t>
            </w:r>
          </w:p>
        </w:tc>
        <w:tc>
          <w:tcPr>
            <w:tcW w:w="4316" w:type="dxa"/>
            <w:vAlign w:val="center"/>
          </w:tcPr>
          <w:p w14:paraId="10940803">
            <w:pPr>
              <w:jc w:val="left"/>
              <w:rPr>
                <w:rFonts w:ascii="仿宋" w:hAnsi="仿宋" w:eastAsia="仿宋" w:cs="仿宋"/>
                <w:color w:val="auto"/>
                <w:sz w:val="24"/>
                <w:highlight w:val="none"/>
              </w:rPr>
            </w:pPr>
          </w:p>
        </w:tc>
      </w:tr>
      <w:tr w14:paraId="60D9E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4" w:type="dxa"/>
            <w:vMerge w:val="continue"/>
            <w:vAlign w:val="center"/>
          </w:tcPr>
          <w:p w14:paraId="4B016483">
            <w:pPr>
              <w:jc w:val="center"/>
              <w:rPr>
                <w:rFonts w:ascii="仿宋" w:hAnsi="仿宋" w:eastAsia="仿宋" w:cs="仿宋"/>
                <w:color w:val="auto"/>
                <w:sz w:val="24"/>
                <w:highlight w:val="none"/>
              </w:rPr>
            </w:pPr>
          </w:p>
        </w:tc>
        <w:tc>
          <w:tcPr>
            <w:tcW w:w="2898" w:type="dxa"/>
            <w:vAlign w:val="center"/>
          </w:tcPr>
          <w:p w14:paraId="7862EF22">
            <w:pPr>
              <w:jc w:val="left"/>
              <w:rPr>
                <w:rFonts w:ascii="仿宋" w:hAnsi="仿宋" w:eastAsia="仿宋" w:cs="仿宋"/>
                <w:color w:val="auto"/>
                <w:sz w:val="24"/>
                <w:highlight w:val="none"/>
              </w:rPr>
            </w:pPr>
            <w:r>
              <w:rPr>
                <w:rFonts w:hint="eastAsia" w:ascii="仿宋" w:hAnsi="仿宋" w:eastAsia="仿宋" w:cs="仿宋"/>
                <w:color w:val="auto"/>
                <w:sz w:val="24"/>
                <w:highlight w:val="none"/>
              </w:rPr>
              <w:t>1.注册年度及注册编号</w:t>
            </w:r>
          </w:p>
        </w:tc>
        <w:tc>
          <w:tcPr>
            <w:tcW w:w="4316" w:type="dxa"/>
            <w:vAlign w:val="center"/>
          </w:tcPr>
          <w:p w14:paraId="4D2A0222">
            <w:pPr>
              <w:jc w:val="left"/>
              <w:rPr>
                <w:rFonts w:ascii="仿宋" w:hAnsi="仿宋" w:eastAsia="仿宋" w:cs="仿宋"/>
                <w:color w:val="auto"/>
                <w:sz w:val="24"/>
                <w:highlight w:val="none"/>
              </w:rPr>
            </w:pPr>
          </w:p>
        </w:tc>
      </w:tr>
      <w:tr w14:paraId="7A33A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4" w:type="dxa"/>
            <w:vMerge w:val="continue"/>
            <w:vAlign w:val="center"/>
          </w:tcPr>
          <w:p w14:paraId="4D344707">
            <w:pPr>
              <w:jc w:val="center"/>
              <w:rPr>
                <w:rFonts w:ascii="仿宋" w:hAnsi="仿宋" w:eastAsia="仿宋" w:cs="仿宋"/>
                <w:color w:val="auto"/>
                <w:sz w:val="24"/>
                <w:highlight w:val="none"/>
              </w:rPr>
            </w:pPr>
          </w:p>
        </w:tc>
        <w:tc>
          <w:tcPr>
            <w:tcW w:w="2898" w:type="dxa"/>
            <w:vAlign w:val="center"/>
          </w:tcPr>
          <w:p w14:paraId="15243132">
            <w:pPr>
              <w:jc w:val="left"/>
              <w:rPr>
                <w:rFonts w:ascii="仿宋" w:hAnsi="仿宋" w:eastAsia="仿宋" w:cs="仿宋"/>
                <w:color w:val="auto"/>
                <w:sz w:val="24"/>
                <w:highlight w:val="none"/>
              </w:rPr>
            </w:pPr>
            <w:r>
              <w:rPr>
                <w:rFonts w:hint="eastAsia" w:ascii="仿宋" w:hAnsi="仿宋" w:eastAsia="仿宋" w:cs="仿宋"/>
                <w:color w:val="auto"/>
                <w:sz w:val="24"/>
                <w:highlight w:val="none"/>
              </w:rPr>
              <w:t>2.注册资金（万元）：</w:t>
            </w:r>
          </w:p>
        </w:tc>
        <w:tc>
          <w:tcPr>
            <w:tcW w:w="4316" w:type="dxa"/>
            <w:vAlign w:val="center"/>
          </w:tcPr>
          <w:p w14:paraId="1BAF6A2B">
            <w:pPr>
              <w:jc w:val="left"/>
              <w:rPr>
                <w:rFonts w:ascii="仿宋" w:hAnsi="仿宋" w:eastAsia="仿宋" w:cs="仿宋"/>
                <w:color w:val="auto"/>
                <w:sz w:val="24"/>
                <w:highlight w:val="none"/>
              </w:rPr>
            </w:pPr>
          </w:p>
        </w:tc>
      </w:tr>
      <w:tr w14:paraId="7DE00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4" w:type="dxa"/>
            <w:vMerge w:val="continue"/>
            <w:vAlign w:val="center"/>
          </w:tcPr>
          <w:p w14:paraId="56E86443">
            <w:pPr>
              <w:jc w:val="center"/>
              <w:rPr>
                <w:rFonts w:ascii="仿宋" w:hAnsi="仿宋" w:eastAsia="仿宋" w:cs="仿宋"/>
                <w:color w:val="auto"/>
                <w:sz w:val="24"/>
                <w:highlight w:val="none"/>
              </w:rPr>
            </w:pPr>
          </w:p>
        </w:tc>
        <w:tc>
          <w:tcPr>
            <w:tcW w:w="2898" w:type="dxa"/>
            <w:vAlign w:val="center"/>
          </w:tcPr>
          <w:p w14:paraId="4A7FB1FB">
            <w:pPr>
              <w:jc w:val="left"/>
              <w:rPr>
                <w:rFonts w:ascii="仿宋" w:hAnsi="仿宋" w:eastAsia="仿宋" w:cs="仿宋"/>
                <w:color w:val="auto"/>
                <w:sz w:val="24"/>
                <w:highlight w:val="none"/>
              </w:rPr>
            </w:pPr>
            <w:r>
              <w:rPr>
                <w:rFonts w:hint="eastAsia" w:ascii="仿宋" w:hAnsi="仿宋" w:eastAsia="仿宋" w:cs="仿宋"/>
                <w:color w:val="auto"/>
                <w:sz w:val="24"/>
                <w:highlight w:val="none"/>
              </w:rPr>
              <w:t>3.经营场所：</w:t>
            </w:r>
          </w:p>
        </w:tc>
        <w:tc>
          <w:tcPr>
            <w:tcW w:w="4316" w:type="dxa"/>
            <w:vAlign w:val="center"/>
          </w:tcPr>
          <w:p w14:paraId="5B3E645C">
            <w:pPr>
              <w:jc w:val="left"/>
              <w:rPr>
                <w:rFonts w:ascii="仿宋" w:hAnsi="仿宋" w:eastAsia="仿宋" w:cs="仿宋"/>
                <w:color w:val="auto"/>
                <w:sz w:val="24"/>
                <w:highlight w:val="none"/>
              </w:rPr>
            </w:pPr>
          </w:p>
        </w:tc>
      </w:tr>
      <w:tr w14:paraId="4C151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4" w:type="dxa"/>
            <w:vMerge w:val="continue"/>
            <w:vAlign w:val="center"/>
          </w:tcPr>
          <w:p w14:paraId="14DFBC2D">
            <w:pPr>
              <w:jc w:val="center"/>
              <w:rPr>
                <w:rFonts w:ascii="仿宋" w:hAnsi="仿宋" w:eastAsia="仿宋" w:cs="仿宋"/>
                <w:color w:val="auto"/>
                <w:sz w:val="24"/>
                <w:highlight w:val="none"/>
              </w:rPr>
            </w:pPr>
          </w:p>
        </w:tc>
        <w:tc>
          <w:tcPr>
            <w:tcW w:w="2898" w:type="dxa"/>
            <w:vAlign w:val="center"/>
          </w:tcPr>
          <w:p w14:paraId="40A004E8">
            <w:pPr>
              <w:jc w:val="left"/>
              <w:rPr>
                <w:rFonts w:ascii="仿宋" w:hAnsi="仿宋" w:eastAsia="仿宋" w:cs="仿宋"/>
                <w:color w:val="auto"/>
                <w:sz w:val="24"/>
                <w:highlight w:val="none"/>
              </w:rPr>
            </w:pPr>
            <w:r>
              <w:rPr>
                <w:rFonts w:hint="eastAsia" w:ascii="仿宋" w:hAnsi="仿宋" w:eastAsia="仿宋" w:cs="仿宋"/>
                <w:color w:val="auto"/>
                <w:sz w:val="24"/>
                <w:highlight w:val="none"/>
              </w:rPr>
              <w:t>4.有效期：</w:t>
            </w:r>
          </w:p>
        </w:tc>
        <w:tc>
          <w:tcPr>
            <w:tcW w:w="4316" w:type="dxa"/>
            <w:vAlign w:val="center"/>
          </w:tcPr>
          <w:p w14:paraId="127E44EA">
            <w:pPr>
              <w:jc w:val="center"/>
              <w:rPr>
                <w:rFonts w:ascii="仿宋" w:hAnsi="仿宋" w:eastAsia="仿宋" w:cs="仿宋"/>
                <w:color w:val="auto"/>
                <w:sz w:val="24"/>
                <w:highlight w:val="none"/>
              </w:rPr>
            </w:pPr>
          </w:p>
        </w:tc>
      </w:tr>
      <w:tr w14:paraId="761F5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4" w:type="dxa"/>
            <w:vMerge w:val="restart"/>
            <w:vAlign w:val="center"/>
          </w:tcPr>
          <w:p w14:paraId="3C076606">
            <w:pPr>
              <w:jc w:val="center"/>
              <w:rPr>
                <w:rFonts w:ascii="仿宋" w:hAnsi="仿宋" w:eastAsia="仿宋" w:cs="仿宋"/>
                <w:color w:val="auto"/>
                <w:sz w:val="24"/>
                <w:highlight w:val="none"/>
              </w:rPr>
            </w:pPr>
            <w:r>
              <w:rPr>
                <w:rFonts w:hint="eastAsia" w:ascii="仿宋" w:hAnsi="仿宋" w:eastAsia="仿宋" w:cs="仿宋"/>
                <w:color w:val="auto"/>
                <w:sz w:val="24"/>
                <w:highlight w:val="none"/>
              </w:rPr>
              <w:t>二</w:t>
            </w:r>
          </w:p>
        </w:tc>
        <w:tc>
          <w:tcPr>
            <w:tcW w:w="2898" w:type="dxa"/>
            <w:vAlign w:val="center"/>
          </w:tcPr>
          <w:p w14:paraId="42F2C04B">
            <w:pPr>
              <w:jc w:val="left"/>
              <w:rPr>
                <w:rFonts w:ascii="仿宋" w:hAnsi="仿宋" w:eastAsia="仿宋" w:cs="仿宋"/>
                <w:color w:val="auto"/>
                <w:sz w:val="24"/>
                <w:highlight w:val="none"/>
              </w:rPr>
            </w:pPr>
            <w:r>
              <w:rPr>
                <w:rFonts w:hint="eastAsia" w:ascii="仿宋" w:hAnsi="仿宋" w:eastAsia="仿宋" w:cs="仿宋"/>
                <w:color w:val="auto"/>
                <w:sz w:val="24"/>
                <w:highlight w:val="none"/>
              </w:rPr>
              <w:t>其他资格（质）证书</w:t>
            </w:r>
          </w:p>
        </w:tc>
        <w:tc>
          <w:tcPr>
            <w:tcW w:w="4316" w:type="dxa"/>
            <w:vAlign w:val="center"/>
          </w:tcPr>
          <w:p w14:paraId="1994DEE3">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（可按表格格式扩展）</w:t>
            </w:r>
          </w:p>
        </w:tc>
      </w:tr>
      <w:tr w14:paraId="6FBE0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4" w:type="dxa"/>
            <w:vMerge w:val="continue"/>
            <w:vAlign w:val="center"/>
          </w:tcPr>
          <w:p w14:paraId="23B5C57B">
            <w:pPr>
              <w:jc w:val="center"/>
              <w:rPr>
                <w:rFonts w:ascii="仿宋" w:hAnsi="仿宋" w:eastAsia="仿宋" w:cs="仿宋"/>
                <w:color w:val="auto"/>
                <w:sz w:val="24"/>
                <w:highlight w:val="none"/>
              </w:rPr>
            </w:pPr>
          </w:p>
        </w:tc>
        <w:tc>
          <w:tcPr>
            <w:tcW w:w="2898" w:type="dxa"/>
            <w:vAlign w:val="center"/>
          </w:tcPr>
          <w:p w14:paraId="2DD0A47B">
            <w:pPr>
              <w:jc w:val="left"/>
              <w:rPr>
                <w:rFonts w:ascii="仿宋" w:hAnsi="仿宋" w:eastAsia="仿宋" w:cs="仿宋"/>
                <w:color w:val="auto"/>
                <w:sz w:val="24"/>
                <w:highlight w:val="none"/>
              </w:rPr>
            </w:pPr>
            <w:r>
              <w:rPr>
                <w:rFonts w:hint="eastAsia" w:ascii="仿宋" w:hAnsi="仿宋" w:eastAsia="仿宋" w:cs="仿宋"/>
                <w:color w:val="auto"/>
                <w:sz w:val="24"/>
                <w:highlight w:val="none"/>
              </w:rPr>
              <w:t>1.证书名称</w:t>
            </w:r>
          </w:p>
        </w:tc>
        <w:tc>
          <w:tcPr>
            <w:tcW w:w="4316" w:type="dxa"/>
            <w:vAlign w:val="center"/>
          </w:tcPr>
          <w:p w14:paraId="4655EB4E">
            <w:pPr>
              <w:jc w:val="left"/>
              <w:rPr>
                <w:rFonts w:ascii="仿宋" w:hAnsi="仿宋" w:eastAsia="仿宋" w:cs="仿宋"/>
                <w:color w:val="auto"/>
                <w:sz w:val="24"/>
                <w:highlight w:val="none"/>
              </w:rPr>
            </w:pPr>
          </w:p>
        </w:tc>
      </w:tr>
      <w:tr w14:paraId="2396C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4" w:type="dxa"/>
            <w:vMerge w:val="continue"/>
            <w:vAlign w:val="center"/>
          </w:tcPr>
          <w:p w14:paraId="460ADEEA">
            <w:pPr>
              <w:jc w:val="center"/>
              <w:rPr>
                <w:rFonts w:ascii="仿宋" w:hAnsi="仿宋" w:eastAsia="仿宋" w:cs="仿宋"/>
                <w:color w:val="auto"/>
                <w:sz w:val="24"/>
                <w:highlight w:val="none"/>
              </w:rPr>
            </w:pPr>
          </w:p>
        </w:tc>
        <w:tc>
          <w:tcPr>
            <w:tcW w:w="2898" w:type="dxa"/>
            <w:vAlign w:val="center"/>
          </w:tcPr>
          <w:p w14:paraId="7C7C6B97">
            <w:pPr>
              <w:jc w:val="left"/>
              <w:rPr>
                <w:rFonts w:ascii="仿宋" w:hAnsi="仿宋" w:eastAsia="仿宋" w:cs="仿宋"/>
                <w:color w:val="auto"/>
                <w:sz w:val="24"/>
                <w:highlight w:val="none"/>
              </w:rPr>
            </w:pPr>
            <w:r>
              <w:rPr>
                <w:rFonts w:hint="eastAsia" w:ascii="仿宋" w:hAnsi="仿宋" w:eastAsia="仿宋" w:cs="仿宋"/>
                <w:color w:val="auto"/>
                <w:sz w:val="24"/>
                <w:highlight w:val="none"/>
              </w:rPr>
              <w:t>2.批准单位</w:t>
            </w:r>
          </w:p>
        </w:tc>
        <w:tc>
          <w:tcPr>
            <w:tcW w:w="4316" w:type="dxa"/>
            <w:vAlign w:val="center"/>
          </w:tcPr>
          <w:p w14:paraId="443207F7">
            <w:pPr>
              <w:jc w:val="left"/>
              <w:rPr>
                <w:rFonts w:ascii="仿宋" w:hAnsi="仿宋" w:eastAsia="仿宋" w:cs="仿宋"/>
                <w:color w:val="auto"/>
                <w:sz w:val="24"/>
                <w:highlight w:val="none"/>
              </w:rPr>
            </w:pPr>
          </w:p>
        </w:tc>
      </w:tr>
      <w:tr w14:paraId="756F9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4" w:type="dxa"/>
            <w:vMerge w:val="continue"/>
            <w:vAlign w:val="center"/>
          </w:tcPr>
          <w:p w14:paraId="0F7961C1">
            <w:pPr>
              <w:jc w:val="center"/>
              <w:rPr>
                <w:rFonts w:ascii="仿宋" w:hAnsi="仿宋" w:eastAsia="仿宋" w:cs="仿宋"/>
                <w:color w:val="auto"/>
                <w:sz w:val="24"/>
                <w:highlight w:val="none"/>
              </w:rPr>
            </w:pPr>
          </w:p>
        </w:tc>
        <w:tc>
          <w:tcPr>
            <w:tcW w:w="2898" w:type="dxa"/>
            <w:vAlign w:val="center"/>
          </w:tcPr>
          <w:p w14:paraId="222768D2">
            <w:pPr>
              <w:jc w:val="left"/>
              <w:rPr>
                <w:rFonts w:ascii="仿宋" w:hAnsi="仿宋" w:eastAsia="仿宋" w:cs="仿宋"/>
                <w:color w:val="auto"/>
                <w:sz w:val="24"/>
                <w:highlight w:val="none"/>
              </w:rPr>
            </w:pPr>
            <w:r>
              <w:rPr>
                <w:rFonts w:hint="eastAsia" w:ascii="仿宋" w:hAnsi="仿宋" w:eastAsia="仿宋" w:cs="仿宋"/>
                <w:color w:val="auto"/>
                <w:sz w:val="24"/>
                <w:highlight w:val="none"/>
              </w:rPr>
              <w:t>3.等级</w:t>
            </w:r>
          </w:p>
        </w:tc>
        <w:tc>
          <w:tcPr>
            <w:tcW w:w="4316" w:type="dxa"/>
            <w:vAlign w:val="center"/>
          </w:tcPr>
          <w:p w14:paraId="51DA6EA0">
            <w:pPr>
              <w:jc w:val="left"/>
              <w:rPr>
                <w:rFonts w:ascii="仿宋" w:hAnsi="仿宋" w:eastAsia="仿宋" w:cs="仿宋"/>
                <w:color w:val="auto"/>
                <w:sz w:val="24"/>
                <w:highlight w:val="none"/>
              </w:rPr>
            </w:pPr>
          </w:p>
        </w:tc>
      </w:tr>
      <w:tr w14:paraId="3F2EA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4" w:type="dxa"/>
            <w:vMerge w:val="continue"/>
            <w:vAlign w:val="center"/>
          </w:tcPr>
          <w:p w14:paraId="0EB9BF38">
            <w:pPr>
              <w:jc w:val="center"/>
              <w:rPr>
                <w:rFonts w:ascii="仿宋" w:hAnsi="仿宋" w:eastAsia="仿宋" w:cs="仿宋"/>
                <w:color w:val="auto"/>
                <w:sz w:val="24"/>
                <w:highlight w:val="none"/>
              </w:rPr>
            </w:pPr>
          </w:p>
        </w:tc>
        <w:tc>
          <w:tcPr>
            <w:tcW w:w="2898" w:type="dxa"/>
            <w:vAlign w:val="center"/>
          </w:tcPr>
          <w:p w14:paraId="667984D4">
            <w:pPr>
              <w:jc w:val="left"/>
              <w:rPr>
                <w:rFonts w:ascii="仿宋" w:hAnsi="仿宋" w:eastAsia="仿宋" w:cs="仿宋"/>
                <w:color w:val="auto"/>
                <w:sz w:val="24"/>
                <w:highlight w:val="none"/>
              </w:rPr>
            </w:pPr>
            <w:r>
              <w:rPr>
                <w:rFonts w:hint="eastAsia" w:ascii="仿宋" w:hAnsi="仿宋" w:eastAsia="仿宋" w:cs="仿宋"/>
                <w:color w:val="auto"/>
                <w:sz w:val="24"/>
                <w:highlight w:val="none"/>
              </w:rPr>
              <w:t>4.批准时间及编号</w:t>
            </w:r>
          </w:p>
        </w:tc>
        <w:tc>
          <w:tcPr>
            <w:tcW w:w="4316" w:type="dxa"/>
            <w:vAlign w:val="center"/>
          </w:tcPr>
          <w:p w14:paraId="46A2985E">
            <w:pPr>
              <w:jc w:val="left"/>
              <w:rPr>
                <w:rFonts w:ascii="仿宋" w:hAnsi="仿宋" w:eastAsia="仿宋" w:cs="仿宋"/>
                <w:color w:val="auto"/>
                <w:sz w:val="24"/>
                <w:highlight w:val="none"/>
              </w:rPr>
            </w:pPr>
          </w:p>
        </w:tc>
      </w:tr>
      <w:tr w14:paraId="1F07E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4" w:type="dxa"/>
            <w:vMerge w:val="continue"/>
            <w:vAlign w:val="center"/>
          </w:tcPr>
          <w:p w14:paraId="55FB35D7">
            <w:pPr>
              <w:jc w:val="center"/>
              <w:rPr>
                <w:rFonts w:ascii="仿宋" w:hAnsi="仿宋" w:eastAsia="仿宋" w:cs="仿宋"/>
                <w:color w:val="auto"/>
                <w:sz w:val="24"/>
                <w:highlight w:val="none"/>
              </w:rPr>
            </w:pPr>
          </w:p>
        </w:tc>
        <w:tc>
          <w:tcPr>
            <w:tcW w:w="2898" w:type="dxa"/>
            <w:vAlign w:val="center"/>
          </w:tcPr>
          <w:p w14:paraId="6A0404AF">
            <w:pPr>
              <w:jc w:val="left"/>
              <w:rPr>
                <w:rFonts w:ascii="仿宋" w:hAnsi="仿宋" w:eastAsia="仿宋" w:cs="仿宋"/>
                <w:color w:val="auto"/>
                <w:sz w:val="24"/>
                <w:highlight w:val="none"/>
              </w:rPr>
            </w:pPr>
            <w:r>
              <w:rPr>
                <w:rFonts w:hint="eastAsia" w:ascii="仿宋" w:hAnsi="仿宋" w:eastAsia="仿宋" w:cs="仿宋"/>
                <w:color w:val="auto"/>
                <w:sz w:val="24"/>
                <w:highlight w:val="none"/>
              </w:rPr>
              <w:t>5.有效期</w:t>
            </w:r>
          </w:p>
        </w:tc>
        <w:tc>
          <w:tcPr>
            <w:tcW w:w="4316" w:type="dxa"/>
            <w:vAlign w:val="center"/>
          </w:tcPr>
          <w:p w14:paraId="0741AD21">
            <w:pPr>
              <w:jc w:val="left"/>
              <w:rPr>
                <w:rFonts w:ascii="仿宋" w:hAnsi="仿宋" w:eastAsia="仿宋" w:cs="仿宋"/>
                <w:color w:val="auto"/>
                <w:sz w:val="24"/>
                <w:highlight w:val="none"/>
              </w:rPr>
            </w:pPr>
          </w:p>
        </w:tc>
      </w:tr>
      <w:tr w14:paraId="7FDF8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4" w:type="dxa"/>
            <w:vMerge w:val="restart"/>
            <w:vAlign w:val="center"/>
          </w:tcPr>
          <w:p w14:paraId="6434C1F8">
            <w:pPr>
              <w:jc w:val="center"/>
              <w:rPr>
                <w:rFonts w:ascii="仿宋" w:hAnsi="仿宋" w:eastAsia="仿宋" w:cs="仿宋"/>
                <w:color w:val="auto"/>
                <w:sz w:val="24"/>
                <w:highlight w:val="none"/>
              </w:rPr>
            </w:pPr>
            <w:r>
              <w:rPr>
                <w:rFonts w:hint="eastAsia" w:ascii="仿宋" w:hAnsi="仿宋" w:eastAsia="仿宋" w:cs="仿宋"/>
                <w:color w:val="auto"/>
                <w:sz w:val="24"/>
                <w:highlight w:val="none"/>
              </w:rPr>
              <w:t>三</w:t>
            </w:r>
          </w:p>
        </w:tc>
        <w:tc>
          <w:tcPr>
            <w:tcW w:w="2898" w:type="dxa"/>
            <w:vAlign w:val="center"/>
          </w:tcPr>
          <w:p w14:paraId="4AA6676A">
            <w:pPr>
              <w:jc w:val="left"/>
              <w:rPr>
                <w:rFonts w:ascii="仿宋" w:hAnsi="仿宋" w:eastAsia="仿宋" w:cs="仿宋"/>
                <w:color w:val="auto"/>
                <w:sz w:val="24"/>
                <w:highlight w:val="none"/>
              </w:rPr>
            </w:pPr>
            <w:r>
              <w:rPr>
                <w:rFonts w:hint="eastAsia" w:ascii="仿宋" w:hAnsi="仿宋" w:eastAsia="仿宋" w:cs="仿宋"/>
                <w:color w:val="auto"/>
                <w:sz w:val="24"/>
                <w:highlight w:val="none"/>
              </w:rPr>
              <w:t>其他</w:t>
            </w:r>
          </w:p>
        </w:tc>
        <w:tc>
          <w:tcPr>
            <w:tcW w:w="4316" w:type="dxa"/>
            <w:vAlign w:val="center"/>
          </w:tcPr>
          <w:p w14:paraId="14E28535">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投标人认为需补充的其他说明</w:t>
            </w:r>
          </w:p>
        </w:tc>
      </w:tr>
      <w:tr w14:paraId="5F383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4" w:type="dxa"/>
            <w:vMerge w:val="continue"/>
            <w:vAlign w:val="center"/>
          </w:tcPr>
          <w:p w14:paraId="15A76067">
            <w:pPr>
              <w:jc w:val="center"/>
              <w:rPr>
                <w:rFonts w:ascii="仿宋" w:hAnsi="仿宋" w:eastAsia="仿宋" w:cs="仿宋"/>
                <w:color w:val="auto"/>
                <w:sz w:val="24"/>
                <w:highlight w:val="none"/>
              </w:rPr>
            </w:pPr>
          </w:p>
        </w:tc>
        <w:tc>
          <w:tcPr>
            <w:tcW w:w="2898" w:type="dxa"/>
            <w:vAlign w:val="center"/>
          </w:tcPr>
          <w:p w14:paraId="446250BB">
            <w:pPr>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4316" w:type="dxa"/>
            <w:vAlign w:val="center"/>
          </w:tcPr>
          <w:p w14:paraId="64FFE8DB">
            <w:pPr>
              <w:jc w:val="left"/>
              <w:rPr>
                <w:rFonts w:ascii="仿宋" w:hAnsi="仿宋" w:eastAsia="仿宋" w:cs="仿宋"/>
                <w:color w:val="auto"/>
                <w:sz w:val="24"/>
                <w:highlight w:val="none"/>
              </w:rPr>
            </w:pPr>
          </w:p>
        </w:tc>
      </w:tr>
    </w:tbl>
    <w:p w14:paraId="27045D56">
      <w:pPr>
        <w:snapToGrid w:val="0"/>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注：在按要求填写好此表格后，各投标单位可以用其他的方式，就公司整体情况作出详细的介绍（可以提供相应文字、照片等）。</w:t>
      </w:r>
    </w:p>
    <w:p w14:paraId="6E90967D">
      <w:pPr>
        <w:snapToGrid w:val="0"/>
        <w:rPr>
          <w:rFonts w:ascii="仿宋" w:hAnsi="仿宋" w:eastAsia="仿宋" w:cs="仿宋"/>
          <w:bCs/>
          <w:color w:val="auto"/>
          <w:sz w:val="24"/>
          <w:highlight w:val="none"/>
        </w:rPr>
      </w:pPr>
    </w:p>
    <w:p w14:paraId="3ECFE834">
      <w:pPr>
        <w:pStyle w:val="7"/>
        <w:jc w:val="center"/>
        <w:rPr>
          <w:rFonts w:ascii="黑体"/>
          <w:color w:val="auto"/>
          <w:highlight w:val="none"/>
        </w:rPr>
      </w:pPr>
      <w:r>
        <w:rPr>
          <w:rFonts w:hint="eastAsia" w:ascii="黑体"/>
          <w:color w:val="auto"/>
          <w:highlight w:val="none"/>
        </w:rPr>
        <w:t>（二）</w:t>
      </w:r>
      <w:r>
        <w:rPr>
          <w:rFonts w:hint="eastAsia" w:ascii="黑体"/>
          <w:color w:val="auto"/>
          <w:highlight w:val="none"/>
          <w:lang w:eastAsia="zh-CN"/>
        </w:rPr>
        <w:t>投标人</w:t>
      </w:r>
      <w:r>
        <w:rPr>
          <w:rFonts w:hint="eastAsia" w:ascii="黑体"/>
          <w:color w:val="auto"/>
          <w:highlight w:val="none"/>
        </w:rPr>
        <w:t>资格证明文件</w:t>
      </w:r>
    </w:p>
    <w:p w14:paraId="0F246C02">
      <w:pPr>
        <w:snapToGrid w:val="0"/>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注：按本招标文件第一章招标公告 “申请人的资格要求”提供相关的资质证明，未提供或提供不完整、不符合要求的，投标文件将按无效投标处理。</w:t>
      </w:r>
    </w:p>
    <w:p w14:paraId="04AC7182">
      <w:pPr>
        <w:pStyle w:val="6"/>
        <w:pageBreakBefore/>
        <w:spacing w:before="0" w:line="377" w:lineRule="auto"/>
        <w:jc w:val="center"/>
        <w:rPr>
          <w:rFonts w:ascii="宋体" w:hAnsi="宋体"/>
          <w:b w:val="0"/>
          <w:color w:val="auto"/>
          <w:sz w:val="36"/>
          <w:highlight w:val="none"/>
        </w:rPr>
      </w:pPr>
      <w:r>
        <w:rPr>
          <w:rFonts w:hint="eastAsia" w:ascii="宋体" w:hAnsi="宋体"/>
          <w:b w:val="0"/>
          <w:color w:val="auto"/>
          <w:sz w:val="36"/>
          <w:highlight w:val="none"/>
          <w:lang w:val="en-US" w:eastAsia="zh-CN"/>
        </w:rPr>
        <w:t>八</w:t>
      </w:r>
      <w:r>
        <w:rPr>
          <w:rFonts w:hint="eastAsia" w:ascii="宋体" w:hAnsi="宋体"/>
          <w:b w:val="0"/>
          <w:color w:val="auto"/>
          <w:sz w:val="36"/>
          <w:highlight w:val="none"/>
        </w:rPr>
        <w:t>、服务条款偏离表</w:t>
      </w:r>
    </w:p>
    <w:p w14:paraId="2BB04B0E">
      <w:pPr>
        <w:spacing w:line="360" w:lineRule="auto"/>
        <w:rPr>
          <w:rFonts w:ascii="仿宋" w:hAnsi="仿宋" w:eastAsia="仿宋" w:cs="Arial"/>
          <w:color w:val="auto"/>
          <w:sz w:val="24"/>
          <w:highlight w:val="none"/>
        </w:rPr>
      </w:pPr>
      <w:r>
        <w:rPr>
          <w:rFonts w:hint="eastAsia" w:ascii="仿宋" w:hAnsi="仿宋" w:eastAsia="仿宋" w:cs="Arial"/>
          <w:bCs/>
          <w:color w:val="auto"/>
          <w:sz w:val="24"/>
          <w:highlight w:val="none"/>
        </w:rPr>
        <w:t>投标人名称：                              项目编号：</w:t>
      </w:r>
    </w:p>
    <w:p w14:paraId="4FDE4718">
      <w:pPr>
        <w:rPr>
          <w:rFonts w:ascii="仿宋" w:hAnsi="仿宋" w:eastAsia="仿宋" w:cs="Arial"/>
          <w:b/>
          <w:color w:val="auto"/>
          <w:sz w:val="24"/>
          <w:highlight w:val="none"/>
        </w:rPr>
      </w:pPr>
      <w:r>
        <w:rPr>
          <w:rFonts w:hint="eastAsia" w:ascii="仿宋" w:hAnsi="仿宋" w:eastAsia="仿宋" w:cs="Arial"/>
          <w:b/>
          <w:color w:val="auto"/>
          <w:sz w:val="24"/>
          <w:highlight w:val="none"/>
        </w:rPr>
        <w:t>据招标文件要求，我公司承诺响应如下：</w:t>
      </w:r>
    </w:p>
    <w:tbl>
      <w:tblPr>
        <w:tblStyle w:val="44"/>
        <w:tblW w:w="8344" w:type="dxa"/>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519"/>
        <w:gridCol w:w="2874"/>
        <w:gridCol w:w="3299"/>
        <w:gridCol w:w="1652"/>
      </w:tblGrid>
      <w:tr w14:paraId="7BC2AC6B">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616" w:hRule="atLeast"/>
        </w:trPr>
        <w:tc>
          <w:tcPr>
            <w:tcW w:w="519" w:type="dxa"/>
            <w:vAlign w:val="center"/>
          </w:tcPr>
          <w:p w14:paraId="5AD2FDF8">
            <w:pPr>
              <w:jc w:val="center"/>
              <w:rPr>
                <w:rFonts w:ascii="仿宋" w:hAnsi="仿宋" w:eastAsia="仿宋" w:cs="Arial"/>
                <w:color w:val="auto"/>
                <w:sz w:val="24"/>
                <w:highlight w:val="none"/>
              </w:rPr>
            </w:pPr>
            <w:r>
              <w:rPr>
                <w:rFonts w:hint="eastAsia" w:ascii="仿宋" w:hAnsi="仿宋" w:eastAsia="仿宋" w:cs="Arial"/>
                <w:color w:val="auto"/>
                <w:sz w:val="24"/>
                <w:highlight w:val="none"/>
              </w:rPr>
              <w:t>序号</w:t>
            </w:r>
          </w:p>
        </w:tc>
        <w:tc>
          <w:tcPr>
            <w:tcW w:w="2874" w:type="dxa"/>
            <w:vAlign w:val="center"/>
          </w:tcPr>
          <w:p w14:paraId="7297EA0D">
            <w:pPr>
              <w:jc w:val="center"/>
              <w:rPr>
                <w:rFonts w:ascii="仿宋" w:hAnsi="仿宋" w:eastAsia="仿宋" w:cs="Arial"/>
                <w:color w:val="auto"/>
                <w:sz w:val="24"/>
                <w:highlight w:val="none"/>
              </w:rPr>
            </w:pPr>
            <w:r>
              <w:rPr>
                <w:rFonts w:hint="eastAsia" w:ascii="仿宋" w:hAnsi="仿宋" w:eastAsia="仿宋" w:cs="Arial"/>
                <w:color w:val="auto"/>
                <w:sz w:val="24"/>
                <w:highlight w:val="none"/>
              </w:rPr>
              <w:t>招标文件要求</w:t>
            </w:r>
          </w:p>
        </w:tc>
        <w:tc>
          <w:tcPr>
            <w:tcW w:w="3299" w:type="dxa"/>
            <w:vAlign w:val="center"/>
          </w:tcPr>
          <w:p w14:paraId="748E3343">
            <w:pPr>
              <w:jc w:val="center"/>
              <w:rPr>
                <w:rFonts w:ascii="仿宋" w:hAnsi="仿宋" w:eastAsia="仿宋" w:cs="Arial"/>
                <w:color w:val="auto"/>
                <w:sz w:val="24"/>
                <w:highlight w:val="none"/>
              </w:rPr>
            </w:pPr>
            <w:r>
              <w:rPr>
                <w:rFonts w:hint="eastAsia" w:ascii="仿宋" w:hAnsi="仿宋" w:eastAsia="仿宋" w:cs="Arial"/>
                <w:color w:val="auto"/>
                <w:sz w:val="24"/>
                <w:highlight w:val="none"/>
              </w:rPr>
              <w:t>投标文件响应</w:t>
            </w:r>
          </w:p>
        </w:tc>
        <w:tc>
          <w:tcPr>
            <w:tcW w:w="1652" w:type="dxa"/>
            <w:vAlign w:val="center"/>
          </w:tcPr>
          <w:p w14:paraId="29A0C260">
            <w:pPr>
              <w:jc w:val="center"/>
              <w:rPr>
                <w:rFonts w:ascii="仿宋" w:hAnsi="仿宋" w:eastAsia="仿宋" w:cs="Arial"/>
                <w:color w:val="auto"/>
                <w:sz w:val="24"/>
                <w:highlight w:val="none"/>
              </w:rPr>
            </w:pPr>
            <w:r>
              <w:rPr>
                <w:rFonts w:hint="eastAsia" w:ascii="仿宋" w:hAnsi="仿宋" w:eastAsia="仿宋" w:cs="Arial"/>
                <w:color w:val="auto"/>
                <w:sz w:val="24"/>
                <w:highlight w:val="none"/>
              </w:rPr>
              <w:t>偏离说明（符合/正偏离/负偏离）</w:t>
            </w:r>
          </w:p>
        </w:tc>
      </w:tr>
      <w:tr w14:paraId="0A1036D8">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586" w:hRule="atLeast"/>
        </w:trPr>
        <w:tc>
          <w:tcPr>
            <w:tcW w:w="519" w:type="dxa"/>
            <w:vAlign w:val="center"/>
          </w:tcPr>
          <w:p w14:paraId="7C557CF9">
            <w:pPr>
              <w:jc w:val="center"/>
              <w:rPr>
                <w:rFonts w:ascii="仿宋" w:hAnsi="仿宋" w:eastAsia="仿宋"/>
                <w:color w:val="auto"/>
                <w:sz w:val="24"/>
                <w:highlight w:val="none"/>
              </w:rPr>
            </w:pPr>
            <w:r>
              <w:rPr>
                <w:rFonts w:hint="eastAsia" w:ascii="仿宋" w:hAnsi="仿宋" w:eastAsia="仿宋"/>
                <w:color w:val="auto"/>
                <w:sz w:val="24"/>
                <w:highlight w:val="none"/>
              </w:rPr>
              <w:t>1</w:t>
            </w:r>
          </w:p>
        </w:tc>
        <w:tc>
          <w:tcPr>
            <w:tcW w:w="2874" w:type="dxa"/>
            <w:vAlign w:val="center"/>
          </w:tcPr>
          <w:p w14:paraId="530DCCB9">
            <w:pPr>
              <w:jc w:val="center"/>
              <w:rPr>
                <w:rFonts w:ascii="仿宋" w:hAnsi="仿宋" w:eastAsia="仿宋"/>
                <w:color w:val="auto"/>
                <w:sz w:val="24"/>
                <w:highlight w:val="none"/>
              </w:rPr>
            </w:pPr>
            <w:r>
              <w:rPr>
                <w:rFonts w:hint="eastAsia" w:ascii="仿宋" w:hAnsi="仿宋" w:eastAsia="仿宋"/>
                <w:color w:val="auto"/>
                <w:sz w:val="24"/>
                <w:highlight w:val="none"/>
              </w:rPr>
              <w:t>此项内容为招标文件第二册第三章招标项目需求中“二、</w:t>
            </w:r>
            <w:r>
              <w:rPr>
                <w:rFonts w:hint="eastAsia" w:ascii="仿宋" w:hAnsi="仿宋" w:eastAsia="仿宋"/>
                <w:b/>
                <w:bCs/>
                <w:color w:val="auto"/>
                <w:sz w:val="24"/>
                <w:highlight w:val="none"/>
              </w:rPr>
              <w:t>服务内容及要求”</w:t>
            </w:r>
            <w:r>
              <w:rPr>
                <w:rFonts w:hint="eastAsia" w:ascii="仿宋" w:hAnsi="仿宋" w:eastAsia="仿宋"/>
                <w:color w:val="auto"/>
                <w:sz w:val="24"/>
                <w:highlight w:val="none"/>
              </w:rPr>
              <w:t>的所有条款要求。</w:t>
            </w:r>
          </w:p>
        </w:tc>
        <w:tc>
          <w:tcPr>
            <w:tcW w:w="3299" w:type="dxa"/>
            <w:vAlign w:val="center"/>
          </w:tcPr>
          <w:p w14:paraId="07FB20F5">
            <w:pPr>
              <w:jc w:val="center"/>
              <w:rPr>
                <w:rFonts w:ascii="仿宋" w:hAnsi="仿宋" w:eastAsia="仿宋" w:cs="Arial"/>
                <w:color w:val="auto"/>
                <w:sz w:val="24"/>
                <w:highlight w:val="none"/>
              </w:rPr>
            </w:pPr>
            <w:r>
              <w:rPr>
                <w:rFonts w:hint="eastAsia" w:ascii="仿宋" w:hAnsi="仿宋" w:eastAsia="仿宋"/>
                <w:color w:val="auto"/>
                <w:sz w:val="24"/>
                <w:highlight w:val="none"/>
              </w:rPr>
              <w:t>“完全按招标文件要求响应”</w:t>
            </w:r>
          </w:p>
        </w:tc>
        <w:tc>
          <w:tcPr>
            <w:tcW w:w="1652" w:type="dxa"/>
            <w:vAlign w:val="center"/>
          </w:tcPr>
          <w:p w14:paraId="49540E2D">
            <w:pPr>
              <w:jc w:val="center"/>
              <w:rPr>
                <w:rFonts w:ascii="仿宋" w:hAnsi="仿宋" w:eastAsia="仿宋" w:cs="Arial"/>
                <w:color w:val="auto"/>
                <w:sz w:val="24"/>
                <w:highlight w:val="none"/>
              </w:rPr>
            </w:pPr>
            <w:r>
              <w:rPr>
                <w:rFonts w:ascii="仿宋" w:hAnsi="仿宋" w:eastAsia="仿宋" w:cs="Arial"/>
                <w:color w:val="auto"/>
                <w:sz w:val="24"/>
                <w:highlight w:val="none"/>
              </w:rPr>
              <w:t>符合</w:t>
            </w:r>
          </w:p>
        </w:tc>
      </w:tr>
    </w:tbl>
    <w:p w14:paraId="4F5A8AA0">
      <w:pPr>
        <w:rPr>
          <w:rFonts w:ascii="仿宋" w:hAnsi="仿宋" w:eastAsia="仿宋"/>
          <w:b/>
          <w:color w:val="auto"/>
          <w:sz w:val="24"/>
          <w:highlight w:val="none"/>
        </w:rPr>
      </w:pPr>
    </w:p>
    <w:p w14:paraId="42863EE4">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填写说明：请投标人于“投标文件响应”栏中对偏离表中相关条款作出响应情况描述，若响应情况优于或劣于招标要求，应逐条作详细说明；“偏离情况”栏中根据响应情况填写，没有达到要求的填“负偏离”，达到要求的填“符合”，优于要求的填“正偏离”，未填写视为“符合”。</w:t>
      </w:r>
    </w:p>
    <w:p w14:paraId="04D018FD">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标注“★”的条款均为不可偏离的实质性条款，投标文件对其中任意一条不满足的将作投标无效处理。</w:t>
      </w:r>
    </w:p>
    <w:p w14:paraId="123042E8">
      <w:pPr>
        <w:ind w:firstLine="480" w:firstLineChars="200"/>
        <w:rPr>
          <w:rFonts w:ascii="仿宋" w:hAnsi="仿宋" w:eastAsia="仿宋"/>
          <w:color w:val="auto"/>
          <w:sz w:val="24"/>
          <w:highlight w:val="none"/>
        </w:rPr>
      </w:pPr>
    </w:p>
    <w:p w14:paraId="188D8B58">
      <w:pPr>
        <w:spacing w:line="360" w:lineRule="auto"/>
        <w:rPr>
          <w:b/>
          <w:bCs/>
          <w:color w:val="auto"/>
          <w:sz w:val="24"/>
          <w:highlight w:val="none"/>
        </w:rPr>
      </w:pPr>
    </w:p>
    <w:p w14:paraId="1D3133C9">
      <w:pPr>
        <w:ind w:firstLine="1200" w:firstLineChars="500"/>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法定代表人或其授权委托人（</w:t>
      </w:r>
      <w:r>
        <w:rPr>
          <w:rFonts w:hint="eastAsia" w:ascii="仿宋" w:hAnsi="仿宋" w:eastAsia="仿宋" w:cs="仿宋"/>
          <w:b/>
          <w:color w:val="FF0000"/>
          <w:sz w:val="24"/>
          <w:highlight w:val="none"/>
        </w:rPr>
        <w:t>签名或盖私章</w:t>
      </w:r>
      <w:r>
        <w:rPr>
          <w:rFonts w:hint="eastAsia" w:ascii="仿宋" w:hAnsi="仿宋" w:eastAsia="仿宋" w:cs="仿宋"/>
          <w:color w:val="auto"/>
          <w:sz w:val="24"/>
          <w:highlight w:val="none"/>
        </w:rPr>
        <w:t>）：</w:t>
      </w:r>
    </w:p>
    <w:p w14:paraId="3A5155F7">
      <w:pPr>
        <w:jc w:val="left"/>
        <w:rPr>
          <w:rFonts w:ascii="仿宋" w:hAnsi="仿宋" w:eastAsia="仿宋" w:cs="仿宋"/>
          <w:color w:val="auto"/>
          <w:sz w:val="24"/>
          <w:highlight w:val="none"/>
        </w:rPr>
      </w:pPr>
    </w:p>
    <w:p w14:paraId="668E3976">
      <w:pPr>
        <w:ind w:firstLine="3600" w:firstLineChars="15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投标单位（</w:t>
      </w:r>
      <w:r>
        <w:rPr>
          <w:rFonts w:hint="eastAsia" w:ascii="仿宋" w:hAnsi="仿宋" w:eastAsia="仿宋" w:cs="仿宋"/>
          <w:b/>
          <w:color w:val="FF0000"/>
          <w:sz w:val="24"/>
          <w:highlight w:val="none"/>
        </w:rPr>
        <w:t>盖公章</w:t>
      </w:r>
      <w:r>
        <w:rPr>
          <w:rFonts w:hint="eastAsia" w:ascii="仿宋" w:hAnsi="仿宋" w:eastAsia="仿宋" w:cs="仿宋"/>
          <w:color w:val="auto"/>
          <w:sz w:val="24"/>
          <w:highlight w:val="none"/>
        </w:rPr>
        <w:t>）：</w:t>
      </w:r>
    </w:p>
    <w:p w14:paraId="6368BD7F">
      <w:pPr>
        <w:jc w:val="left"/>
        <w:rPr>
          <w:rFonts w:ascii="仿宋" w:hAnsi="仿宋" w:eastAsia="仿宋" w:cs="仿宋"/>
          <w:color w:val="auto"/>
          <w:sz w:val="24"/>
          <w:highlight w:val="none"/>
        </w:rPr>
      </w:pPr>
    </w:p>
    <w:p w14:paraId="72D76348">
      <w:pPr>
        <w:jc w:val="right"/>
        <w:rPr>
          <w:color w:val="auto"/>
          <w:szCs w:val="21"/>
          <w:highlight w:val="none"/>
        </w:rPr>
      </w:pPr>
      <w:r>
        <w:rPr>
          <w:rFonts w:hint="eastAsia" w:ascii="仿宋" w:hAnsi="仿宋" w:eastAsia="仿宋" w:cs="仿宋"/>
          <w:color w:val="auto"/>
          <w:sz w:val="24"/>
          <w:highlight w:val="none"/>
        </w:rPr>
        <w:t>日期：    年  月  日</w:t>
      </w:r>
    </w:p>
    <w:p w14:paraId="5FE9ECCB">
      <w:pPr>
        <w:jc w:val="left"/>
        <w:rPr>
          <w:rFonts w:ascii="仿宋" w:hAnsi="仿宋" w:eastAsia="仿宋" w:cs="仿宋"/>
          <w:color w:val="auto"/>
          <w:highlight w:val="none"/>
        </w:rPr>
      </w:pPr>
    </w:p>
    <w:p w14:paraId="34F93FD0">
      <w:pPr>
        <w:pStyle w:val="6"/>
        <w:pageBreakBefore/>
        <w:spacing w:before="0" w:line="377" w:lineRule="auto"/>
        <w:jc w:val="center"/>
        <w:rPr>
          <w:rFonts w:ascii="宋体" w:hAnsi="宋体"/>
          <w:b w:val="0"/>
          <w:color w:val="auto"/>
          <w:sz w:val="36"/>
          <w:highlight w:val="none"/>
        </w:rPr>
      </w:pPr>
      <w:r>
        <w:rPr>
          <w:rFonts w:hint="eastAsia" w:ascii="宋体" w:hAnsi="宋体"/>
          <w:b w:val="0"/>
          <w:color w:val="auto"/>
          <w:sz w:val="36"/>
          <w:highlight w:val="none"/>
        </w:rPr>
        <w:t>九、商务条款偏离表</w:t>
      </w:r>
    </w:p>
    <w:p w14:paraId="0CCD4316">
      <w:pPr>
        <w:rPr>
          <w:rFonts w:ascii="仿宋" w:hAnsi="仿宋" w:eastAsia="仿宋" w:cs="Arial"/>
          <w:color w:val="auto"/>
          <w:sz w:val="24"/>
          <w:highlight w:val="none"/>
        </w:rPr>
      </w:pPr>
      <w:r>
        <w:rPr>
          <w:rFonts w:hint="eastAsia" w:ascii="仿宋" w:hAnsi="仿宋" w:eastAsia="仿宋" w:cs="Arial"/>
          <w:bCs/>
          <w:color w:val="auto"/>
          <w:sz w:val="24"/>
          <w:highlight w:val="none"/>
        </w:rPr>
        <w:t>投标人名称：                              项目编号：</w:t>
      </w:r>
    </w:p>
    <w:p w14:paraId="281D6304">
      <w:pPr>
        <w:rPr>
          <w:rFonts w:ascii="仿宋" w:hAnsi="仿宋" w:eastAsia="仿宋" w:cs="Arial"/>
          <w:b/>
          <w:color w:val="auto"/>
          <w:sz w:val="24"/>
          <w:highlight w:val="none"/>
        </w:rPr>
      </w:pPr>
      <w:r>
        <w:rPr>
          <w:rFonts w:hint="eastAsia" w:ascii="仿宋" w:hAnsi="仿宋" w:eastAsia="仿宋" w:cs="Arial"/>
          <w:b/>
          <w:color w:val="auto"/>
          <w:sz w:val="24"/>
          <w:highlight w:val="none"/>
        </w:rPr>
        <w:t>据招标文件要求，我公司承诺响应如下：</w:t>
      </w:r>
    </w:p>
    <w:tbl>
      <w:tblPr>
        <w:tblStyle w:val="44"/>
        <w:tblW w:w="8634" w:type="dxa"/>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602"/>
        <w:gridCol w:w="3016"/>
        <w:gridCol w:w="3233"/>
        <w:gridCol w:w="1783"/>
      </w:tblGrid>
      <w:tr w14:paraId="2271059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PrEx>
        <w:trPr>
          <w:jc w:val="center"/>
        </w:trPr>
        <w:tc>
          <w:tcPr>
            <w:tcW w:w="602" w:type="dxa"/>
            <w:vAlign w:val="center"/>
          </w:tcPr>
          <w:p w14:paraId="47AAFB94">
            <w:pPr>
              <w:jc w:val="center"/>
              <w:rPr>
                <w:rFonts w:ascii="仿宋" w:hAnsi="仿宋" w:eastAsia="仿宋" w:cs="Arial"/>
                <w:color w:val="auto"/>
                <w:sz w:val="24"/>
                <w:highlight w:val="none"/>
              </w:rPr>
            </w:pPr>
            <w:r>
              <w:rPr>
                <w:rFonts w:hint="eastAsia" w:ascii="仿宋" w:hAnsi="仿宋" w:eastAsia="仿宋" w:cs="Arial"/>
                <w:color w:val="auto"/>
                <w:sz w:val="24"/>
                <w:highlight w:val="none"/>
              </w:rPr>
              <w:t>序号</w:t>
            </w:r>
          </w:p>
        </w:tc>
        <w:tc>
          <w:tcPr>
            <w:tcW w:w="3016" w:type="dxa"/>
            <w:vAlign w:val="center"/>
          </w:tcPr>
          <w:p w14:paraId="434393AE">
            <w:pPr>
              <w:jc w:val="center"/>
              <w:rPr>
                <w:rFonts w:ascii="仿宋" w:hAnsi="仿宋" w:eastAsia="仿宋" w:cs="Arial"/>
                <w:color w:val="auto"/>
                <w:sz w:val="24"/>
                <w:highlight w:val="none"/>
              </w:rPr>
            </w:pPr>
            <w:r>
              <w:rPr>
                <w:rFonts w:hint="eastAsia" w:ascii="仿宋" w:hAnsi="仿宋" w:eastAsia="仿宋" w:cs="Arial"/>
                <w:color w:val="auto"/>
                <w:sz w:val="24"/>
                <w:highlight w:val="none"/>
              </w:rPr>
              <w:t>招标文件要求</w:t>
            </w:r>
          </w:p>
        </w:tc>
        <w:tc>
          <w:tcPr>
            <w:tcW w:w="3233" w:type="dxa"/>
            <w:vAlign w:val="center"/>
          </w:tcPr>
          <w:p w14:paraId="12F524A2">
            <w:pPr>
              <w:jc w:val="center"/>
              <w:rPr>
                <w:rFonts w:ascii="仿宋" w:hAnsi="仿宋" w:eastAsia="仿宋" w:cs="Arial"/>
                <w:color w:val="auto"/>
                <w:sz w:val="24"/>
                <w:highlight w:val="none"/>
              </w:rPr>
            </w:pPr>
            <w:r>
              <w:rPr>
                <w:rFonts w:hint="eastAsia" w:ascii="仿宋" w:hAnsi="仿宋" w:eastAsia="仿宋" w:cs="Arial"/>
                <w:color w:val="auto"/>
                <w:sz w:val="24"/>
                <w:highlight w:val="none"/>
              </w:rPr>
              <w:t>投标文件响应</w:t>
            </w:r>
          </w:p>
        </w:tc>
        <w:tc>
          <w:tcPr>
            <w:tcW w:w="1783" w:type="dxa"/>
            <w:vAlign w:val="center"/>
          </w:tcPr>
          <w:p w14:paraId="05A21437">
            <w:pPr>
              <w:jc w:val="center"/>
              <w:rPr>
                <w:rFonts w:ascii="仿宋" w:hAnsi="仿宋" w:eastAsia="仿宋" w:cs="Arial"/>
                <w:color w:val="auto"/>
                <w:sz w:val="24"/>
                <w:highlight w:val="none"/>
              </w:rPr>
            </w:pPr>
            <w:r>
              <w:rPr>
                <w:rFonts w:hint="eastAsia" w:ascii="仿宋" w:hAnsi="仿宋" w:eastAsia="仿宋" w:cs="Arial"/>
                <w:color w:val="auto"/>
                <w:sz w:val="24"/>
                <w:highlight w:val="none"/>
              </w:rPr>
              <w:t>偏离说明（符合/正偏离/负偏离）</w:t>
            </w:r>
          </w:p>
        </w:tc>
      </w:tr>
      <w:tr w14:paraId="32FCB298">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602" w:type="dxa"/>
            <w:vAlign w:val="center"/>
          </w:tcPr>
          <w:p w14:paraId="40EA1F18">
            <w:pPr>
              <w:rPr>
                <w:rFonts w:ascii="仿宋" w:hAnsi="仿宋" w:eastAsia="仿宋"/>
                <w:color w:val="auto"/>
                <w:sz w:val="24"/>
                <w:highlight w:val="none"/>
              </w:rPr>
            </w:pPr>
            <w:r>
              <w:rPr>
                <w:rFonts w:hint="eastAsia" w:ascii="仿宋" w:hAnsi="仿宋" w:eastAsia="仿宋"/>
                <w:color w:val="auto"/>
                <w:sz w:val="24"/>
                <w:highlight w:val="none"/>
              </w:rPr>
              <w:t>1</w:t>
            </w:r>
          </w:p>
        </w:tc>
        <w:tc>
          <w:tcPr>
            <w:tcW w:w="3016" w:type="dxa"/>
            <w:vAlign w:val="center"/>
          </w:tcPr>
          <w:p w14:paraId="2050FC97">
            <w:pPr>
              <w:tabs>
                <w:tab w:val="left" w:pos="1440"/>
              </w:tabs>
              <w:rPr>
                <w:rFonts w:ascii="仿宋" w:hAnsi="仿宋" w:eastAsia="仿宋"/>
                <w:color w:val="auto"/>
                <w:sz w:val="24"/>
                <w:highlight w:val="none"/>
              </w:rPr>
            </w:pPr>
            <w:r>
              <w:rPr>
                <w:rFonts w:hint="eastAsia" w:ascii="仿宋" w:hAnsi="仿宋" w:eastAsia="仿宋"/>
                <w:color w:val="auto"/>
                <w:sz w:val="24"/>
                <w:highlight w:val="none"/>
              </w:rPr>
              <w:t>此项内容为招标文件第二册第三章中</w:t>
            </w:r>
            <w:r>
              <w:rPr>
                <w:rFonts w:hint="eastAsia" w:ascii="仿宋" w:hAnsi="仿宋" w:eastAsia="仿宋"/>
                <w:b/>
                <w:color w:val="auto"/>
                <w:sz w:val="24"/>
                <w:highlight w:val="none"/>
              </w:rPr>
              <w:t>“三、商务要求”</w:t>
            </w:r>
            <w:r>
              <w:rPr>
                <w:rFonts w:hint="eastAsia" w:ascii="仿宋" w:hAnsi="仿宋" w:eastAsia="仿宋"/>
                <w:color w:val="auto"/>
                <w:sz w:val="24"/>
                <w:highlight w:val="none"/>
              </w:rPr>
              <w:t>中的所有条款要求。</w:t>
            </w:r>
          </w:p>
        </w:tc>
        <w:tc>
          <w:tcPr>
            <w:tcW w:w="3233" w:type="dxa"/>
            <w:vAlign w:val="center"/>
          </w:tcPr>
          <w:p w14:paraId="18E54AD2">
            <w:pPr>
              <w:rPr>
                <w:rFonts w:ascii="仿宋" w:hAnsi="仿宋" w:eastAsia="仿宋" w:cs="Arial"/>
                <w:color w:val="auto"/>
                <w:sz w:val="24"/>
                <w:highlight w:val="none"/>
              </w:rPr>
            </w:pPr>
            <w:r>
              <w:rPr>
                <w:rFonts w:hint="eastAsia" w:ascii="仿宋" w:hAnsi="仿宋" w:eastAsia="仿宋"/>
                <w:color w:val="auto"/>
                <w:sz w:val="24"/>
                <w:highlight w:val="none"/>
              </w:rPr>
              <w:t>“完全按招标文件要求响应”</w:t>
            </w:r>
          </w:p>
        </w:tc>
        <w:tc>
          <w:tcPr>
            <w:tcW w:w="1783" w:type="dxa"/>
            <w:vAlign w:val="center"/>
          </w:tcPr>
          <w:p w14:paraId="39B87F7D">
            <w:pPr>
              <w:jc w:val="center"/>
              <w:rPr>
                <w:rFonts w:ascii="仿宋" w:hAnsi="仿宋" w:eastAsia="仿宋" w:cs="Arial"/>
                <w:color w:val="auto"/>
                <w:sz w:val="24"/>
                <w:highlight w:val="none"/>
              </w:rPr>
            </w:pPr>
            <w:r>
              <w:rPr>
                <w:rFonts w:ascii="仿宋" w:hAnsi="仿宋" w:eastAsia="仿宋" w:cs="Arial"/>
                <w:color w:val="auto"/>
                <w:sz w:val="24"/>
                <w:highlight w:val="none"/>
              </w:rPr>
              <w:t>符合</w:t>
            </w:r>
          </w:p>
        </w:tc>
      </w:tr>
    </w:tbl>
    <w:p w14:paraId="6CE8C4F7">
      <w:pPr>
        <w:rPr>
          <w:rFonts w:ascii="仿宋" w:hAnsi="仿宋" w:eastAsia="仿宋"/>
          <w:b/>
          <w:color w:val="auto"/>
          <w:sz w:val="24"/>
          <w:highlight w:val="none"/>
        </w:rPr>
      </w:pPr>
    </w:p>
    <w:p w14:paraId="48E8FA48">
      <w:pPr>
        <w:spacing w:line="360" w:lineRule="auto"/>
        <w:ind w:firstLine="480" w:firstLineChars="200"/>
        <w:rPr>
          <w:rFonts w:ascii="仿宋" w:hAnsi="仿宋" w:eastAsia="仿宋" w:cs="Arial"/>
          <w:color w:val="auto"/>
          <w:sz w:val="24"/>
          <w:highlight w:val="none"/>
        </w:rPr>
      </w:pPr>
      <w:r>
        <w:rPr>
          <w:rFonts w:hint="eastAsia" w:ascii="仿宋" w:hAnsi="仿宋" w:eastAsia="仿宋"/>
          <w:color w:val="auto"/>
          <w:sz w:val="24"/>
          <w:highlight w:val="none"/>
        </w:rPr>
        <w:t>填写说明：请投标人于“投标文件响应”栏中对偏离表中相关条款作出响应情况描述，若响应情况优于或劣于招标要求，应逐条作详细说明；“偏离情况”栏中根据响应情况填写，没有达到要求的填“负偏离”，达到要求的填“符合”，优于要求的填“正偏离”，未填写视为“符合”。</w:t>
      </w:r>
    </w:p>
    <w:p w14:paraId="69F626C2">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标注“★”的条款均为不可偏离的实质性条款，投标文件对其中任意一条不满足的将作投标无效处理。</w:t>
      </w:r>
    </w:p>
    <w:p w14:paraId="006E59DF">
      <w:pPr>
        <w:spacing w:line="360" w:lineRule="auto"/>
        <w:rPr>
          <w:rFonts w:ascii="宋体" w:hAnsi="宋体" w:cs="Arial"/>
          <w:bCs/>
          <w:color w:val="auto"/>
          <w:sz w:val="24"/>
          <w:highlight w:val="none"/>
        </w:rPr>
      </w:pPr>
    </w:p>
    <w:p w14:paraId="767BF110">
      <w:pPr>
        <w:ind w:firstLine="1200" w:firstLineChars="500"/>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法定代表人或其授权委托人（</w:t>
      </w:r>
      <w:r>
        <w:rPr>
          <w:rFonts w:hint="eastAsia" w:ascii="仿宋" w:hAnsi="仿宋" w:eastAsia="仿宋" w:cs="仿宋"/>
          <w:b/>
          <w:color w:val="FF0000"/>
          <w:sz w:val="24"/>
          <w:highlight w:val="none"/>
        </w:rPr>
        <w:t>签名或盖私章</w:t>
      </w:r>
      <w:r>
        <w:rPr>
          <w:rFonts w:hint="eastAsia" w:ascii="仿宋" w:hAnsi="仿宋" w:eastAsia="仿宋" w:cs="仿宋"/>
          <w:color w:val="auto"/>
          <w:sz w:val="24"/>
          <w:highlight w:val="none"/>
        </w:rPr>
        <w:t>）：</w:t>
      </w:r>
    </w:p>
    <w:p w14:paraId="2A5DE96B">
      <w:pPr>
        <w:jc w:val="left"/>
        <w:rPr>
          <w:rFonts w:ascii="仿宋" w:hAnsi="仿宋" w:eastAsia="仿宋" w:cs="仿宋"/>
          <w:color w:val="auto"/>
          <w:sz w:val="24"/>
          <w:highlight w:val="none"/>
        </w:rPr>
      </w:pPr>
    </w:p>
    <w:p w14:paraId="3F5BC97F">
      <w:pPr>
        <w:ind w:firstLine="3600" w:firstLineChars="15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投标单位（</w:t>
      </w:r>
      <w:r>
        <w:rPr>
          <w:rFonts w:hint="eastAsia" w:ascii="仿宋" w:hAnsi="仿宋" w:eastAsia="仿宋" w:cs="仿宋"/>
          <w:b/>
          <w:color w:val="FF0000"/>
          <w:sz w:val="24"/>
          <w:highlight w:val="none"/>
        </w:rPr>
        <w:t>盖公章</w:t>
      </w:r>
      <w:r>
        <w:rPr>
          <w:rFonts w:hint="eastAsia" w:ascii="仿宋" w:hAnsi="仿宋" w:eastAsia="仿宋" w:cs="仿宋"/>
          <w:color w:val="auto"/>
          <w:sz w:val="24"/>
          <w:highlight w:val="none"/>
        </w:rPr>
        <w:t>）：</w:t>
      </w:r>
    </w:p>
    <w:p w14:paraId="4987DBF0">
      <w:pPr>
        <w:jc w:val="left"/>
        <w:rPr>
          <w:rFonts w:ascii="仿宋" w:hAnsi="仿宋" w:eastAsia="仿宋" w:cs="仿宋"/>
          <w:color w:val="auto"/>
          <w:sz w:val="24"/>
          <w:highlight w:val="none"/>
        </w:rPr>
      </w:pPr>
    </w:p>
    <w:p w14:paraId="6CE039E1">
      <w:pPr>
        <w:jc w:val="right"/>
        <w:rPr>
          <w:color w:val="auto"/>
          <w:szCs w:val="21"/>
          <w:highlight w:val="none"/>
        </w:rPr>
      </w:pPr>
      <w:r>
        <w:rPr>
          <w:rFonts w:hint="eastAsia" w:ascii="仿宋" w:hAnsi="仿宋" w:eastAsia="仿宋" w:cs="仿宋"/>
          <w:color w:val="auto"/>
          <w:sz w:val="24"/>
          <w:highlight w:val="none"/>
        </w:rPr>
        <w:t>日期：    年  月  日</w:t>
      </w:r>
    </w:p>
    <w:p w14:paraId="03DD8CDF">
      <w:pPr>
        <w:widowControl/>
        <w:jc w:val="left"/>
        <w:rPr>
          <w:rFonts w:ascii="宋体" w:hAnsi="宋体" w:eastAsia="黑体"/>
          <w:bCs/>
          <w:color w:val="auto"/>
          <w:sz w:val="36"/>
          <w:szCs w:val="28"/>
          <w:highlight w:val="none"/>
        </w:rPr>
      </w:pPr>
      <w:r>
        <w:rPr>
          <w:rFonts w:ascii="宋体" w:hAnsi="宋体"/>
          <w:b/>
          <w:color w:val="auto"/>
          <w:sz w:val="36"/>
          <w:highlight w:val="none"/>
        </w:rPr>
        <w:br w:type="page"/>
      </w:r>
    </w:p>
    <w:p w14:paraId="35668C53">
      <w:pPr>
        <w:spacing w:line="400" w:lineRule="exact"/>
        <w:ind w:left="-619" w:leftChars="-295" w:firstLine="560" w:firstLineChars="200"/>
        <w:rPr>
          <w:rFonts w:ascii="宋体" w:hAnsi="宋体" w:cs="宋体"/>
          <w:color w:val="auto"/>
          <w:sz w:val="28"/>
          <w:szCs w:val="28"/>
          <w:highlight w:val="none"/>
        </w:rPr>
      </w:pPr>
    </w:p>
    <w:p w14:paraId="54A91B40">
      <w:pPr>
        <w:adjustRightInd w:val="0"/>
        <w:snapToGrid w:val="0"/>
        <w:spacing w:line="360" w:lineRule="auto"/>
        <w:jc w:val="center"/>
        <w:outlineLvl w:val="3"/>
        <w:rPr>
          <w:rFonts w:hint="eastAsia" w:ascii="宋体" w:hAnsi="宋体" w:eastAsia="黑体" w:cs="Times New Roman"/>
          <w:bCs/>
          <w:color w:val="auto"/>
          <w:sz w:val="36"/>
          <w:szCs w:val="28"/>
          <w:highlight w:val="none"/>
          <w:lang w:val="zh-CN"/>
        </w:rPr>
      </w:pPr>
      <w:bookmarkStart w:id="505" w:name="_Toc11652"/>
      <w:r>
        <w:rPr>
          <w:rFonts w:hint="eastAsia" w:ascii="宋体" w:hAnsi="宋体" w:eastAsia="黑体"/>
          <w:b w:val="0"/>
          <w:bCs/>
          <w:sz w:val="36"/>
          <w:szCs w:val="28"/>
          <w:highlight w:val="none"/>
        </w:rPr>
        <w:t>十、</w:t>
      </w:r>
      <w:r>
        <w:rPr>
          <w:rFonts w:hint="eastAsia" w:ascii="宋体" w:hAnsi="宋体" w:eastAsia="黑体" w:cs="Times New Roman"/>
          <w:bCs/>
          <w:color w:val="auto"/>
          <w:sz w:val="36"/>
          <w:szCs w:val="28"/>
          <w:highlight w:val="none"/>
          <w:lang w:val="zh-CN"/>
        </w:rPr>
        <w:t>施工方案（</w:t>
      </w:r>
      <w:r>
        <w:rPr>
          <w:rFonts w:hint="eastAsia" w:ascii="宋体" w:hAnsi="宋体" w:eastAsia="黑体" w:cs="Times New Roman"/>
          <w:bCs/>
          <w:color w:val="auto"/>
          <w:sz w:val="36"/>
          <w:szCs w:val="28"/>
          <w:highlight w:val="none"/>
          <w:lang w:val="en-US" w:eastAsia="zh-CN"/>
        </w:rPr>
        <w:t>格式自拟</w:t>
      </w:r>
      <w:r>
        <w:rPr>
          <w:rFonts w:hint="eastAsia" w:ascii="宋体" w:hAnsi="宋体" w:eastAsia="黑体" w:cs="Times New Roman"/>
          <w:bCs/>
          <w:color w:val="auto"/>
          <w:sz w:val="36"/>
          <w:szCs w:val="28"/>
          <w:highlight w:val="none"/>
          <w:lang w:val="zh-CN"/>
        </w:rPr>
        <w:t>）</w:t>
      </w:r>
    </w:p>
    <w:p w14:paraId="3BCEB793">
      <w:pPr>
        <w:rPr>
          <w:rFonts w:hint="eastAsia" w:ascii="宋体" w:hAnsi="宋体" w:eastAsia="黑体" w:cs="Times New Roman"/>
          <w:bCs/>
          <w:sz w:val="36"/>
          <w:szCs w:val="28"/>
          <w:highlight w:val="none"/>
          <w:lang w:val="en-US" w:eastAsia="zh-CN"/>
        </w:rPr>
      </w:pPr>
      <w:r>
        <w:rPr>
          <w:rFonts w:hint="eastAsia" w:ascii="宋体" w:hAnsi="宋体" w:eastAsia="黑体" w:cs="Times New Roman"/>
          <w:bCs/>
          <w:sz w:val="36"/>
          <w:szCs w:val="28"/>
          <w:highlight w:val="none"/>
          <w:lang w:val="en-US" w:eastAsia="zh-CN"/>
        </w:rPr>
        <w:br w:type="page"/>
      </w:r>
    </w:p>
    <w:p w14:paraId="2EE33748">
      <w:pPr>
        <w:pStyle w:val="43"/>
        <w:ind w:left="0" w:leftChars="0" w:firstLine="0" w:firstLineChars="0"/>
        <w:jc w:val="center"/>
        <w:outlineLvl w:val="3"/>
        <w:rPr>
          <w:rFonts w:hint="eastAsia" w:ascii="黑体" w:hAnsi="黑体" w:eastAsia="黑体" w:cs="黑体"/>
          <w:b/>
          <w:bCs/>
          <w:color w:val="auto"/>
          <w:sz w:val="28"/>
          <w:szCs w:val="28"/>
          <w:highlight w:val="none"/>
        </w:rPr>
      </w:pPr>
      <w:r>
        <w:rPr>
          <w:rFonts w:hint="eastAsia" w:ascii="宋体" w:hAnsi="宋体" w:eastAsia="黑体" w:cs="Times New Roman"/>
          <w:bCs/>
          <w:sz w:val="36"/>
          <w:szCs w:val="28"/>
          <w:highlight w:val="none"/>
          <w:lang w:val="en-US" w:eastAsia="zh-CN"/>
        </w:rPr>
        <w:t>十一</w:t>
      </w:r>
      <w:r>
        <w:rPr>
          <w:rFonts w:hint="eastAsia" w:ascii="宋体" w:hAnsi="宋体" w:eastAsia="黑体" w:cs="Times New Roman"/>
          <w:bCs/>
          <w:sz w:val="36"/>
          <w:szCs w:val="28"/>
          <w:highlight w:val="none"/>
        </w:rPr>
        <w:t>、</w:t>
      </w:r>
      <w:r>
        <w:rPr>
          <w:rFonts w:hint="eastAsia" w:ascii="宋体" w:hAnsi="宋体" w:eastAsia="黑体" w:cs="Times New Roman"/>
          <w:bCs/>
          <w:color w:val="auto"/>
          <w:sz w:val="36"/>
          <w:szCs w:val="28"/>
          <w:highlight w:val="none"/>
          <w:lang w:val="zh-CN"/>
        </w:rPr>
        <w:t>机械设备</w:t>
      </w:r>
    </w:p>
    <w:p w14:paraId="3471DC5B">
      <w:pPr>
        <w:widowControl/>
        <w:numPr>
          <w:ilvl w:val="-1"/>
          <w:numId w:val="0"/>
        </w:numPr>
        <w:spacing w:line="240" w:lineRule="auto"/>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自有机械</w:t>
      </w:r>
      <w:r>
        <w:rPr>
          <w:rFonts w:hint="eastAsia" w:ascii="仿宋" w:hAnsi="仿宋" w:eastAsia="仿宋" w:cs="仿宋"/>
          <w:b w:val="0"/>
          <w:bCs w:val="0"/>
          <w:color w:val="auto"/>
          <w:sz w:val="24"/>
          <w:szCs w:val="24"/>
          <w:highlight w:val="none"/>
          <w:lang w:val="en-US" w:eastAsia="zh-CN"/>
        </w:rPr>
        <w:t>提供与投标人名称一致的在有效期内的</w:t>
      </w:r>
      <w:r>
        <w:rPr>
          <w:rFonts w:hint="eastAsia" w:ascii="仿宋" w:hAnsi="仿宋" w:eastAsia="仿宋" w:cs="仿宋"/>
          <w:b w:val="0"/>
          <w:bCs w:val="0"/>
          <w:color w:val="auto"/>
          <w:sz w:val="24"/>
          <w:szCs w:val="24"/>
          <w:highlight w:val="none"/>
        </w:rPr>
        <w:t>车辆行驶证、</w:t>
      </w:r>
      <w:r>
        <w:rPr>
          <w:rFonts w:hint="eastAsia" w:ascii="仿宋" w:hAnsi="仿宋" w:eastAsia="仿宋" w:cs="仿宋"/>
          <w:b w:val="0"/>
          <w:bCs w:val="0"/>
          <w:color w:val="auto"/>
          <w:sz w:val="24"/>
          <w:szCs w:val="24"/>
          <w:highlight w:val="none"/>
          <w:lang w:val="en-US" w:eastAsia="zh-CN"/>
        </w:rPr>
        <w:t>购置发票及</w:t>
      </w:r>
      <w:r>
        <w:rPr>
          <w:rFonts w:hint="eastAsia" w:ascii="仿宋" w:hAnsi="仿宋" w:eastAsia="仿宋" w:cs="仿宋"/>
          <w:b w:val="0"/>
          <w:bCs w:val="0"/>
          <w:color w:val="auto"/>
          <w:sz w:val="24"/>
          <w:szCs w:val="24"/>
          <w:highlight w:val="none"/>
        </w:rPr>
        <w:t>机械照片；</w:t>
      </w:r>
    </w:p>
    <w:p w14:paraId="71E17B0C">
      <w:pPr>
        <w:widowControl/>
        <w:numPr>
          <w:ilvl w:val="-1"/>
          <w:numId w:val="0"/>
        </w:numPr>
        <w:spacing w:line="240" w:lineRule="auto"/>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租赁机械</w:t>
      </w:r>
      <w:r>
        <w:rPr>
          <w:rFonts w:hint="eastAsia" w:ascii="仿宋" w:hAnsi="仿宋" w:eastAsia="仿宋" w:cs="仿宋"/>
          <w:b w:val="0"/>
          <w:bCs w:val="0"/>
          <w:color w:val="auto"/>
          <w:sz w:val="24"/>
          <w:szCs w:val="24"/>
          <w:highlight w:val="none"/>
          <w:lang w:val="en-US" w:eastAsia="zh-CN"/>
        </w:rPr>
        <w:t>提供在</w:t>
      </w:r>
      <w:r>
        <w:rPr>
          <w:rFonts w:hint="eastAsia" w:ascii="仿宋" w:hAnsi="仿宋" w:eastAsia="仿宋" w:cs="仿宋"/>
          <w:b w:val="0"/>
          <w:bCs w:val="0"/>
          <w:color w:val="auto"/>
          <w:sz w:val="24"/>
          <w:szCs w:val="24"/>
          <w:highlight w:val="none"/>
        </w:rPr>
        <w:t>有效期内的行驶证</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租赁合同</w:t>
      </w:r>
      <w:r>
        <w:rPr>
          <w:rFonts w:hint="eastAsia" w:ascii="仿宋" w:hAnsi="仿宋" w:eastAsia="仿宋" w:cs="仿宋"/>
          <w:b w:val="0"/>
          <w:bCs w:val="0"/>
          <w:color w:val="auto"/>
          <w:sz w:val="24"/>
          <w:szCs w:val="24"/>
          <w:highlight w:val="none"/>
        </w:rPr>
        <w:t>及</w:t>
      </w:r>
      <w:r>
        <w:rPr>
          <w:rFonts w:hint="eastAsia" w:ascii="仿宋" w:hAnsi="仿宋" w:eastAsia="仿宋" w:cs="仿宋"/>
          <w:b w:val="0"/>
          <w:bCs w:val="0"/>
          <w:color w:val="auto"/>
          <w:sz w:val="24"/>
          <w:szCs w:val="24"/>
          <w:highlight w:val="none"/>
          <w:lang w:val="en-US" w:eastAsia="zh-CN"/>
        </w:rPr>
        <w:t>机械照片</w:t>
      </w:r>
      <w:r>
        <w:rPr>
          <w:rFonts w:hint="eastAsia" w:ascii="仿宋" w:hAnsi="仿宋" w:eastAsia="仿宋" w:cs="仿宋"/>
          <w:b w:val="0"/>
          <w:bCs w:val="0"/>
          <w:color w:val="auto"/>
          <w:sz w:val="24"/>
          <w:szCs w:val="24"/>
          <w:highlight w:val="none"/>
        </w:rPr>
        <w:t>，租赁合同期限应涵盖本项目服务期，即自本项目开标日起一年内有效。</w:t>
      </w:r>
    </w:p>
    <w:p w14:paraId="7928C6FE">
      <w:pPr>
        <w:widowControl/>
        <w:numPr>
          <w:ilvl w:val="-1"/>
          <w:numId w:val="0"/>
        </w:numPr>
        <w:spacing w:line="240" w:lineRule="auto"/>
        <w:ind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以上资料均应提供扫描件，</w:t>
      </w:r>
      <w:r>
        <w:rPr>
          <w:rFonts w:hint="eastAsia" w:ascii="仿宋" w:hAnsi="仿宋" w:eastAsia="仿宋" w:cs="仿宋"/>
          <w:b w:val="0"/>
          <w:bCs w:val="0"/>
          <w:color w:val="auto"/>
          <w:sz w:val="24"/>
          <w:szCs w:val="24"/>
          <w:highlight w:val="none"/>
        </w:rPr>
        <w:t>原件备查，未提供或证明材料不符合要求或不清晰无法判断的不得分。</w:t>
      </w:r>
    </w:p>
    <w:p w14:paraId="7279E6D8">
      <w:pPr>
        <w:widowControl/>
        <w:spacing w:line="240" w:lineRule="auto"/>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证明文件必须体现投标人名称，否则不得分；</w:t>
      </w:r>
    </w:p>
    <w:p w14:paraId="58916C7C">
      <w:pPr>
        <w:tabs>
          <w:tab w:val="left" w:pos="1418"/>
        </w:tabs>
        <w:spacing w:after="0" w:afterLines="-2147483648" w:line="360" w:lineRule="auto"/>
        <w:jc w:val="both"/>
        <w:rPr>
          <w:rFonts w:hint="eastAsia" w:ascii="宋体" w:hAnsi="宋体" w:eastAsia="黑体" w:cs="Times New Roman"/>
          <w:bCs/>
          <w:sz w:val="36"/>
          <w:szCs w:val="28"/>
          <w:highlight w:val="none"/>
        </w:rPr>
      </w:pPr>
      <w:r>
        <w:rPr>
          <w:rFonts w:hint="eastAsia" w:ascii="仿宋" w:hAnsi="仿宋" w:eastAsia="仿宋" w:cs="仿宋"/>
          <w:b w:val="0"/>
          <w:bCs w:val="0"/>
          <w:color w:val="auto"/>
          <w:sz w:val="24"/>
          <w:szCs w:val="24"/>
          <w:highlight w:val="none"/>
          <w:lang w:eastAsia="zh-CN"/>
        </w:rPr>
        <w:t>4</w:t>
      </w:r>
      <w:r>
        <w:rPr>
          <w:rFonts w:hint="eastAsia" w:ascii="仿宋" w:hAnsi="仿宋" w:eastAsia="仿宋" w:cs="仿宋"/>
          <w:b w:val="0"/>
          <w:bCs w:val="0"/>
          <w:color w:val="auto"/>
          <w:sz w:val="24"/>
          <w:szCs w:val="24"/>
          <w:highlight w:val="none"/>
        </w:rPr>
        <w:t>.以上证明材料提供复印件加盖投标人公章，原件备查,未提供或无法判断不得分。</w:t>
      </w:r>
    </w:p>
    <w:p w14:paraId="7129A2BB">
      <w:pPr>
        <w:adjustRightInd w:val="0"/>
        <w:snapToGrid w:val="0"/>
        <w:spacing w:line="360" w:lineRule="auto"/>
        <w:jc w:val="center"/>
        <w:outlineLvl w:val="3"/>
        <w:rPr>
          <w:rFonts w:hint="eastAsia" w:ascii="宋体" w:hAnsi="宋体" w:eastAsia="黑体" w:cs="Times New Roman"/>
          <w:bCs/>
          <w:sz w:val="36"/>
          <w:szCs w:val="28"/>
          <w:highlight w:val="none"/>
          <w:lang w:val="fr-CH"/>
        </w:rPr>
      </w:pPr>
    </w:p>
    <w:p w14:paraId="38B322F0">
      <w:pPr>
        <w:adjustRightInd/>
        <w:snapToGrid/>
        <w:spacing w:line="240" w:lineRule="auto"/>
        <w:jc w:val="left"/>
        <w:outlineLvl w:val="9"/>
        <w:rPr>
          <w:rFonts w:hint="eastAsia" w:ascii="宋体" w:hAnsi="宋体" w:eastAsia="黑体" w:cs="Times New Roman"/>
          <w:bCs/>
          <w:sz w:val="36"/>
          <w:szCs w:val="28"/>
          <w:highlight w:val="none"/>
          <w:lang w:val="en-US" w:eastAsia="zh-CN"/>
        </w:rPr>
      </w:pPr>
      <w:r>
        <w:rPr>
          <w:rFonts w:hint="eastAsia" w:ascii="宋体" w:hAnsi="宋体" w:eastAsia="黑体" w:cs="Times New Roman"/>
          <w:bCs/>
          <w:sz w:val="36"/>
          <w:szCs w:val="28"/>
          <w:highlight w:val="none"/>
          <w:lang w:val="en-US" w:eastAsia="zh-CN"/>
        </w:rPr>
        <w:br w:type="page"/>
      </w:r>
    </w:p>
    <w:p w14:paraId="3869FE4E">
      <w:pPr>
        <w:adjustRightInd w:val="0"/>
        <w:snapToGrid w:val="0"/>
        <w:spacing w:line="360" w:lineRule="auto"/>
        <w:jc w:val="center"/>
        <w:outlineLvl w:val="3"/>
        <w:rPr>
          <w:rFonts w:hint="eastAsia" w:ascii="宋体" w:hAnsi="宋体" w:eastAsia="黑体"/>
          <w:b w:val="0"/>
          <w:bCs/>
          <w:sz w:val="36"/>
          <w:szCs w:val="28"/>
          <w:highlight w:val="none"/>
        </w:rPr>
      </w:pPr>
      <w:r>
        <w:rPr>
          <w:rFonts w:hint="eastAsia" w:ascii="宋体" w:hAnsi="宋体" w:eastAsia="黑体" w:cs="Times New Roman"/>
          <w:bCs/>
          <w:sz w:val="36"/>
          <w:szCs w:val="28"/>
          <w:highlight w:val="none"/>
          <w:lang w:val="en-US" w:eastAsia="zh-CN"/>
        </w:rPr>
        <w:t>十二</w:t>
      </w:r>
      <w:r>
        <w:rPr>
          <w:rFonts w:hint="eastAsia" w:ascii="宋体" w:hAnsi="宋体" w:eastAsia="黑体" w:cs="Times New Roman"/>
          <w:bCs/>
          <w:sz w:val="36"/>
          <w:szCs w:val="28"/>
          <w:highlight w:val="none"/>
        </w:rPr>
        <w:t>、</w:t>
      </w:r>
      <w:r>
        <w:rPr>
          <w:rFonts w:hint="eastAsia" w:ascii="宋体" w:hAnsi="宋体" w:eastAsia="黑体" w:cs="Times New Roman"/>
          <w:bCs/>
          <w:sz w:val="36"/>
          <w:szCs w:val="28"/>
          <w:highlight w:val="none"/>
          <w:lang w:val="fr-CH"/>
        </w:rPr>
        <w:t>拟投入</w:t>
      </w:r>
      <w:r>
        <w:rPr>
          <w:rFonts w:hint="eastAsia" w:ascii="宋体" w:hAnsi="宋体" w:eastAsia="黑体" w:cs="Times New Roman"/>
          <w:bCs/>
          <w:sz w:val="36"/>
          <w:szCs w:val="28"/>
          <w:highlight w:val="none"/>
        </w:rPr>
        <w:t>人员</w:t>
      </w:r>
    </w:p>
    <w:p w14:paraId="2D19EC20">
      <w:pPr>
        <w:adjustRightInd w:val="0"/>
        <w:snapToGrid w:val="0"/>
        <w:spacing w:line="360" w:lineRule="auto"/>
        <w:jc w:val="center"/>
        <w:rPr>
          <w:rFonts w:ascii="宋体" w:hAnsi="宋体"/>
          <w:b/>
          <w:bCs/>
          <w:color w:val="auto"/>
          <w:sz w:val="32"/>
          <w:highlight w:val="none"/>
        </w:rPr>
      </w:pPr>
      <w:r>
        <w:rPr>
          <w:rFonts w:hint="eastAsia" w:ascii="宋体" w:hAnsi="宋体" w:eastAsia="黑体"/>
          <w:b w:val="0"/>
          <w:bCs/>
          <w:color w:val="auto"/>
          <w:sz w:val="36"/>
          <w:szCs w:val="28"/>
          <w:highlight w:val="none"/>
        </w:rPr>
        <w:t>投标人拟派项目现场负责人简历表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668"/>
        <w:gridCol w:w="1238"/>
        <w:gridCol w:w="681"/>
        <w:gridCol w:w="845"/>
        <w:gridCol w:w="683"/>
        <w:gridCol w:w="683"/>
        <w:gridCol w:w="192"/>
        <w:gridCol w:w="654"/>
        <w:gridCol w:w="651"/>
        <w:gridCol w:w="751"/>
        <w:gridCol w:w="1384"/>
      </w:tblGrid>
      <w:tr w14:paraId="6E9DC6D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648" w:hRule="atLeast"/>
          <w:jc w:val="center"/>
        </w:trPr>
        <w:tc>
          <w:tcPr>
            <w:tcW w:w="1668" w:type="dxa"/>
            <w:vAlign w:val="center"/>
          </w:tcPr>
          <w:p w14:paraId="25E4849B">
            <w:pPr>
              <w:adjustRightInd w:val="0"/>
              <w:snapToGrid w:val="0"/>
              <w:spacing w:line="360" w:lineRule="auto"/>
              <w:jc w:val="distribute"/>
              <w:rPr>
                <w:rFonts w:ascii="宋体" w:hAnsi="宋体"/>
                <w:snapToGrid w:val="0"/>
                <w:color w:val="auto"/>
                <w:szCs w:val="20"/>
                <w:highlight w:val="none"/>
              </w:rPr>
            </w:pPr>
            <w:r>
              <w:rPr>
                <w:rFonts w:hint="eastAsia" w:ascii="宋体" w:hAnsi="宋体"/>
                <w:snapToGrid w:val="0"/>
                <w:color w:val="auto"/>
                <w:szCs w:val="20"/>
                <w:highlight w:val="none"/>
              </w:rPr>
              <w:t>姓名</w:t>
            </w:r>
          </w:p>
        </w:tc>
        <w:tc>
          <w:tcPr>
            <w:tcW w:w="1238" w:type="dxa"/>
            <w:vAlign w:val="center"/>
          </w:tcPr>
          <w:p w14:paraId="69D81B4C">
            <w:pPr>
              <w:adjustRightInd w:val="0"/>
              <w:snapToGrid w:val="0"/>
              <w:spacing w:line="360" w:lineRule="auto"/>
              <w:jc w:val="center"/>
              <w:rPr>
                <w:rFonts w:ascii="宋体" w:hAnsi="宋体"/>
                <w:snapToGrid w:val="0"/>
                <w:color w:val="auto"/>
                <w:szCs w:val="20"/>
                <w:highlight w:val="none"/>
              </w:rPr>
            </w:pPr>
          </w:p>
        </w:tc>
        <w:tc>
          <w:tcPr>
            <w:tcW w:w="681" w:type="dxa"/>
            <w:vAlign w:val="center"/>
          </w:tcPr>
          <w:p w14:paraId="26639861">
            <w:pPr>
              <w:adjustRightInd w:val="0"/>
              <w:snapToGrid w:val="0"/>
              <w:spacing w:line="360" w:lineRule="auto"/>
              <w:jc w:val="center"/>
              <w:rPr>
                <w:rFonts w:ascii="宋体" w:hAnsi="宋体"/>
                <w:snapToGrid w:val="0"/>
                <w:color w:val="auto"/>
                <w:szCs w:val="20"/>
                <w:highlight w:val="none"/>
              </w:rPr>
            </w:pPr>
            <w:r>
              <w:rPr>
                <w:rFonts w:hint="eastAsia" w:ascii="宋体" w:hAnsi="宋体"/>
                <w:snapToGrid w:val="0"/>
                <w:color w:val="auto"/>
                <w:szCs w:val="20"/>
                <w:highlight w:val="none"/>
              </w:rPr>
              <w:t>性别</w:t>
            </w:r>
          </w:p>
        </w:tc>
        <w:tc>
          <w:tcPr>
            <w:tcW w:w="845" w:type="dxa"/>
            <w:vAlign w:val="center"/>
          </w:tcPr>
          <w:p w14:paraId="72681FA5">
            <w:pPr>
              <w:adjustRightInd w:val="0"/>
              <w:snapToGrid w:val="0"/>
              <w:spacing w:line="360" w:lineRule="auto"/>
              <w:jc w:val="center"/>
              <w:rPr>
                <w:rFonts w:ascii="宋体" w:hAnsi="宋体"/>
                <w:snapToGrid w:val="0"/>
                <w:color w:val="auto"/>
                <w:szCs w:val="20"/>
                <w:highlight w:val="none"/>
              </w:rPr>
            </w:pPr>
          </w:p>
        </w:tc>
        <w:tc>
          <w:tcPr>
            <w:tcW w:w="683" w:type="dxa"/>
            <w:vAlign w:val="center"/>
          </w:tcPr>
          <w:p w14:paraId="1D2B481D">
            <w:pPr>
              <w:adjustRightInd w:val="0"/>
              <w:snapToGrid w:val="0"/>
              <w:spacing w:line="360" w:lineRule="auto"/>
              <w:jc w:val="center"/>
              <w:rPr>
                <w:rFonts w:ascii="宋体" w:hAnsi="宋体"/>
                <w:snapToGrid w:val="0"/>
                <w:color w:val="auto"/>
                <w:szCs w:val="20"/>
                <w:highlight w:val="none"/>
              </w:rPr>
            </w:pPr>
            <w:r>
              <w:rPr>
                <w:rFonts w:hint="eastAsia" w:ascii="宋体" w:hAnsi="宋体"/>
                <w:snapToGrid w:val="0"/>
                <w:color w:val="auto"/>
                <w:szCs w:val="20"/>
                <w:highlight w:val="none"/>
              </w:rPr>
              <w:t>年龄</w:t>
            </w:r>
          </w:p>
        </w:tc>
        <w:tc>
          <w:tcPr>
            <w:tcW w:w="875" w:type="dxa"/>
            <w:gridSpan w:val="2"/>
            <w:vAlign w:val="center"/>
          </w:tcPr>
          <w:p w14:paraId="009642A4">
            <w:pPr>
              <w:adjustRightInd w:val="0"/>
              <w:snapToGrid w:val="0"/>
              <w:spacing w:line="360" w:lineRule="auto"/>
              <w:jc w:val="center"/>
              <w:rPr>
                <w:rFonts w:ascii="宋体" w:hAnsi="宋体"/>
                <w:snapToGrid w:val="0"/>
                <w:color w:val="auto"/>
                <w:szCs w:val="20"/>
                <w:highlight w:val="none"/>
              </w:rPr>
            </w:pPr>
          </w:p>
        </w:tc>
        <w:tc>
          <w:tcPr>
            <w:tcW w:w="654" w:type="dxa"/>
            <w:vAlign w:val="center"/>
          </w:tcPr>
          <w:p w14:paraId="38614126">
            <w:pPr>
              <w:adjustRightInd w:val="0"/>
              <w:snapToGrid w:val="0"/>
              <w:spacing w:line="360" w:lineRule="auto"/>
              <w:jc w:val="center"/>
              <w:rPr>
                <w:rFonts w:ascii="宋体" w:hAnsi="宋体"/>
                <w:snapToGrid w:val="0"/>
                <w:color w:val="auto"/>
                <w:szCs w:val="20"/>
                <w:highlight w:val="none"/>
              </w:rPr>
            </w:pPr>
            <w:r>
              <w:rPr>
                <w:rFonts w:hint="eastAsia" w:ascii="宋体" w:hAnsi="宋体"/>
                <w:snapToGrid w:val="0"/>
                <w:color w:val="auto"/>
                <w:szCs w:val="20"/>
                <w:highlight w:val="none"/>
              </w:rPr>
              <w:t>学历</w:t>
            </w:r>
          </w:p>
        </w:tc>
        <w:tc>
          <w:tcPr>
            <w:tcW w:w="651" w:type="dxa"/>
            <w:vAlign w:val="center"/>
          </w:tcPr>
          <w:p w14:paraId="1E19D4A3">
            <w:pPr>
              <w:adjustRightInd w:val="0"/>
              <w:snapToGrid w:val="0"/>
              <w:spacing w:line="360" w:lineRule="auto"/>
              <w:jc w:val="center"/>
              <w:rPr>
                <w:rFonts w:ascii="宋体" w:hAnsi="宋体"/>
                <w:snapToGrid w:val="0"/>
                <w:color w:val="auto"/>
                <w:szCs w:val="20"/>
                <w:highlight w:val="none"/>
              </w:rPr>
            </w:pPr>
          </w:p>
        </w:tc>
        <w:tc>
          <w:tcPr>
            <w:tcW w:w="751" w:type="dxa"/>
            <w:vAlign w:val="center"/>
          </w:tcPr>
          <w:p w14:paraId="1A290697">
            <w:pPr>
              <w:adjustRightInd w:val="0"/>
              <w:snapToGrid w:val="0"/>
              <w:spacing w:line="360" w:lineRule="auto"/>
              <w:jc w:val="center"/>
              <w:rPr>
                <w:rFonts w:ascii="宋体" w:hAnsi="宋体"/>
                <w:snapToGrid w:val="0"/>
                <w:color w:val="auto"/>
                <w:szCs w:val="20"/>
                <w:highlight w:val="none"/>
              </w:rPr>
            </w:pPr>
            <w:r>
              <w:rPr>
                <w:rFonts w:hint="eastAsia" w:ascii="宋体" w:hAnsi="宋体"/>
                <w:snapToGrid w:val="0"/>
                <w:color w:val="auto"/>
                <w:szCs w:val="20"/>
                <w:highlight w:val="none"/>
              </w:rPr>
              <w:t>职称</w:t>
            </w:r>
          </w:p>
        </w:tc>
        <w:tc>
          <w:tcPr>
            <w:tcW w:w="1384" w:type="dxa"/>
            <w:vAlign w:val="center"/>
          </w:tcPr>
          <w:p w14:paraId="6EE51D5A">
            <w:pPr>
              <w:adjustRightInd w:val="0"/>
              <w:snapToGrid w:val="0"/>
              <w:spacing w:line="360" w:lineRule="auto"/>
              <w:jc w:val="center"/>
              <w:rPr>
                <w:rFonts w:ascii="宋体" w:hAnsi="宋体"/>
                <w:snapToGrid w:val="0"/>
                <w:color w:val="auto"/>
                <w:szCs w:val="20"/>
                <w:highlight w:val="none"/>
              </w:rPr>
            </w:pPr>
          </w:p>
        </w:tc>
      </w:tr>
      <w:tr w14:paraId="5EE2A84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1668" w:type="dxa"/>
            <w:vAlign w:val="center"/>
          </w:tcPr>
          <w:p w14:paraId="28F2FD88">
            <w:pPr>
              <w:adjustRightInd w:val="0"/>
              <w:snapToGrid w:val="0"/>
              <w:spacing w:line="360" w:lineRule="auto"/>
              <w:jc w:val="distribute"/>
              <w:rPr>
                <w:rFonts w:ascii="宋体" w:hAnsi="宋体"/>
                <w:snapToGrid w:val="0"/>
                <w:color w:val="auto"/>
                <w:szCs w:val="20"/>
                <w:highlight w:val="none"/>
              </w:rPr>
            </w:pPr>
            <w:r>
              <w:rPr>
                <w:rFonts w:hint="eastAsia" w:ascii="宋体" w:hAnsi="宋体"/>
                <w:snapToGrid w:val="0"/>
                <w:color w:val="auto"/>
                <w:szCs w:val="20"/>
                <w:highlight w:val="none"/>
              </w:rPr>
              <w:t>毕业院校</w:t>
            </w:r>
          </w:p>
        </w:tc>
        <w:tc>
          <w:tcPr>
            <w:tcW w:w="2764" w:type="dxa"/>
            <w:gridSpan w:val="3"/>
            <w:vAlign w:val="center"/>
          </w:tcPr>
          <w:p w14:paraId="6401D5E5">
            <w:pPr>
              <w:adjustRightInd w:val="0"/>
              <w:snapToGrid w:val="0"/>
              <w:spacing w:line="360" w:lineRule="auto"/>
              <w:jc w:val="center"/>
              <w:rPr>
                <w:rFonts w:ascii="宋体" w:hAnsi="宋体"/>
                <w:snapToGrid w:val="0"/>
                <w:color w:val="auto"/>
                <w:szCs w:val="20"/>
                <w:highlight w:val="none"/>
              </w:rPr>
            </w:pPr>
          </w:p>
        </w:tc>
        <w:tc>
          <w:tcPr>
            <w:tcW w:w="683" w:type="dxa"/>
            <w:vAlign w:val="center"/>
          </w:tcPr>
          <w:p w14:paraId="2CA3A970">
            <w:pPr>
              <w:adjustRightInd w:val="0"/>
              <w:snapToGrid w:val="0"/>
              <w:spacing w:line="360" w:lineRule="auto"/>
              <w:jc w:val="center"/>
              <w:rPr>
                <w:rFonts w:ascii="宋体" w:hAnsi="宋体"/>
                <w:snapToGrid w:val="0"/>
                <w:color w:val="auto"/>
                <w:szCs w:val="20"/>
                <w:highlight w:val="none"/>
              </w:rPr>
            </w:pPr>
            <w:r>
              <w:rPr>
                <w:rFonts w:hint="eastAsia" w:ascii="宋体" w:hAnsi="宋体"/>
                <w:snapToGrid w:val="0"/>
                <w:color w:val="auto"/>
                <w:szCs w:val="20"/>
                <w:highlight w:val="none"/>
              </w:rPr>
              <w:t>毕业</w:t>
            </w:r>
          </w:p>
          <w:p w14:paraId="350145BD">
            <w:pPr>
              <w:adjustRightInd w:val="0"/>
              <w:snapToGrid w:val="0"/>
              <w:spacing w:line="360" w:lineRule="auto"/>
              <w:jc w:val="center"/>
              <w:rPr>
                <w:rFonts w:ascii="宋体" w:hAnsi="宋体"/>
                <w:snapToGrid w:val="0"/>
                <w:color w:val="auto"/>
                <w:szCs w:val="20"/>
                <w:highlight w:val="none"/>
              </w:rPr>
            </w:pPr>
            <w:r>
              <w:rPr>
                <w:rFonts w:hint="eastAsia" w:ascii="宋体" w:hAnsi="宋体"/>
                <w:snapToGrid w:val="0"/>
                <w:color w:val="auto"/>
                <w:szCs w:val="20"/>
                <w:highlight w:val="none"/>
              </w:rPr>
              <w:t>时间</w:t>
            </w:r>
          </w:p>
        </w:tc>
        <w:tc>
          <w:tcPr>
            <w:tcW w:w="1529" w:type="dxa"/>
            <w:gridSpan w:val="3"/>
            <w:vAlign w:val="center"/>
          </w:tcPr>
          <w:p w14:paraId="0621334F">
            <w:pPr>
              <w:adjustRightInd w:val="0"/>
              <w:snapToGrid w:val="0"/>
              <w:spacing w:line="360" w:lineRule="auto"/>
              <w:jc w:val="center"/>
              <w:rPr>
                <w:rFonts w:ascii="宋体" w:hAnsi="宋体"/>
                <w:snapToGrid w:val="0"/>
                <w:color w:val="auto"/>
                <w:szCs w:val="20"/>
                <w:highlight w:val="none"/>
              </w:rPr>
            </w:pPr>
          </w:p>
        </w:tc>
        <w:tc>
          <w:tcPr>
            <w:tcW w:w="651" w:type="dxa"/>
            <w:vAlign w:val="center"/>
          </w:tcPr>
          <w:p w14:paraId="5C39E7AF">
            <w:pPr>
              <w:adjustRightInd w:val="0"/>
              <w:snapToGrid w:val="0"/>
              <w:spacing w:line="360" w:lineRule="auto"/>
              <w:jc w:val="center"/>
              <w:rPr>
                <w:rFonts w:ascii="宋体" w:hAnsi="宋体"/>
                <w:snapToGrid w:val="0"/>
                <w:color w:val="auto"/>
                <w:szCs w:val="20"/>
                <w:highlight w:val="none"/>
              </w:rPr>
            </w:pPr>
            <w:r>
              <w:rPr>
                <w:rFonts w:hint="eastAsia" w:ascii="宋体" w:hAnsi="宋体"/>
                <w:snapToGrid w:val="0"/>
                <w:color w:val="auto"/>
                <w:szCs w:val="20"/>
                <w:highlight w:val="none"/>
              </w:rPr>
              <w:t>所学</w:t>
            </w:r>
          </w:p>
          <w:p w14:paraId="423BE4A7">
            <w:pPr>
              <w:adjustRightInd w:val="0"/>
              <w:snapToGrid w:val="0"/>
              <w:spacing w:line="360" w:lineRule="auto"/>
              <w:jc w:val="center"/>
              <w:rPr>
                <w:rFonts w:ascii="宋体" w:hAnsi="宋体"/>
                <w:snapToGrid w:val="0"/>
                <w:color w:val="auto"/>
                <w:szCs w:val="20"/>
                <w:highlight w:val="none"/>
              </w:rPr>
            </w:pPr>
            <w:r>
              <w:rPr>
                <w:rFonts w:hint="eastAsia" w:ascii="宋体" w:hAnsi="宋体"/>
                <w:snapToGrid w:val="0"/>
                <w:color w:val="auto"/>
                <w:szCs w:val="20"/>
                <w:highlight w:val="none"/>
              </w:rPr>
              <w:t>专业</w:t>
            </w:r>
          </w:p>
        </w:tc>
        <w:tc>
          <w:tcPr>
            <w:tcW w:w="2135" w:type="dxa"/>
            <w:gridSpan w:val="2"/>
            <w:vAlign w:val="center"/>
          </w:tcPr>
          <w:p w14:paraId="0D551317">
            <w:pPr>
              <w:adjustRightInd w:val="0"/>
              <w:snapToGrid w:val="0"/>
              <w:spacing w:line="360" w:lineRule="auto"/>
              <w:jc w:val="center"/>
              <w:rPr>
                <w:rFonts w:ascii="宋体" w:hAnsi="宋体"/>
                <w:snapToGrid w:val="0"/>
                <w:color w:val="auto"/>
                <w:szCs w:val="20"/>
                <w:highlight w:val="none"/>
              </w:rPr>
            </w:pPr>
          </w:p>
        </w:tc>
      </w:tr>
      <w:tr w14:paraId="1A98822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1668" w:type="dxa"/>
            <w:vAlign w:val="center"/>
          </w:tcPr>
          <w:p w14:paraId="4E5D7902">
            <w:pPr>
              <w:adjustRightInd w:val="0"/>
              <w:snapToGrid w:val="0"/>
              <w:spacing w:line="360" w:lineRule="auto"/>
              <w:jc w:val="distribute"/>
              <w:rPr>
                <w:rFonts w:ascii="宋体" w:hAnsi="宋体"/>
                <w:snapToGrid w:val="0"/>
                <w:color w:val="auto"/>
                <w:szCs w:val="20"/>
                <w:highlight w:val="none"/>
              </w:rPr>
            </w:pPr>
            <w:r>
              <w:rPr>
                <w:rFonts w:hint="eastAsia" w:ascii="宋体" w:hAnsi="宋体"/>
                <w:snapToGrid w:val="0"/>
                <w:color w:val="auto"/>
                <w:szCs w:val="20"/>
                <w:highlight w:val="none"/>
              </w:rPr>
              <w:t>工程建设行业</w:t>
            </w:r>
          </w:p>
          <w:p w14:paraId="1152B0A8">
            <w:pPr>
              <w:adjustRightInd w:val="0"/>
              <w:snapToGrid w:val="0"/>
              <w:spacing w:line="360" w:lineRule="auto"/>
              <w:jc w:val="distribute"/>
              <w:rPr>
                <w:rFonts w:ascii="宋体" w:hAnsi="宋体"/>
                <w:snapToGrid w:val="0"/>
                <w:color w:val="auto"/>
                <w:szCs w:val="20"/>
                <w:highlight w:val="none"/>
              </w:rPr>
            </w:pPr>
            <w:r>
              <w:rPr>
                <w:rFonts w:hint="eastAsia" w:ascii="宋体" w:hAnsi="宋体"/>
                <w:snapToGrid w:val="0"/>
                <w:color w:val="auto"/>
                <w:szCs w:val="20"/>
                <w:highlight w:val="none"/>
              </w:rPr>
              <w:t>工作年限</w:t>
            </w:r>
          </w:p>
        </w:tc>
        <w:tc>
          <w:tcPr>
            <w:tcW w:w="2764" w:type="dxa"/>
            <w:gridSpan w:val="3"/>
            <w:vAlign w:val="center"/>
          </w:tcPr>
          <w:p w14:paraId="3069F5A2">
            <w:pPr>
              <w:adjustRightInd w:val="0"/>
              <w:snapToGrid w:val="0"/>
              <w:spacing w:line="360" w:lineRule="auto"/>
              <w:jc w:val="distribute"/>
              <w:rPr>
                <w:rFonts w:ascii="宋体" w:hAnsi="宋体"/>
                <w:snapToGrid w:val="0"/>
                <w:color w:val="auto"/>
                <w:szCs w:val="20"/>
                <w:highlight w:val="none"/>
              </w:rPr>
            </w:pPr>
          </w:p>
        </w:tc>
        <w:tc>
          <w:tcPr>
            <w:tcW w:w="1366" w:type="dxa"/>
            <w:gridSpan w:val="2"/>
            <w:vAlign w:val="center"/>
          </w:tcPr>
          <w:p w14:paraId="4A0DB424">
            <w:pPr>
              <w:adjustRightInd w:val="0"/>
              <w:snapToGrid w:val="0"/>
              <w:spacing w:line="360" w:lineRule="auto"/>
              <w:jc w:val="distribute"/>
              <w:rPr>
                <w:rFonts w:ascii="宋体" w:hAnsi="宋体"/>
                <w:snapToGrid w:val="0"/>
                <w:color w:val="auto"/>
                <w:szCs w:val="20"/>
                <w:highlight w:val="none"/>
              </w:rPr>
            </w:pPr>
            <w:r>
              <w:rPr>
                <w:rFonts w:hint="eastAsia" w:ascii="宋体" w:hAnsi="宋体"/>
                <w:snapToGrid w:val="0"/>
                <w:color w:val="auto"/>
                <w:szCs w:val="20"/>
                <w:highlight w:val="none"/>
              </w:rPr>
              <w:t>投标人企业</w:t>
            </w:r>
          </w:p>
          <w:p w14:paraId="49AD7BEC">
            <w:pPr>
              <w:adjustRightInd w:val="0"/>
              <w:snapToGrid w:val="0"/>
              <w:spacing w:line="360" w:lineRule="auto"/>
              <w:jc w:val="distribute"/>
              <w:rPr>
                <w:rFonts w:ascii="宋体" w:hAnsi="宋体"/>
                <w:snapToGrid w:val="0"/>
                <w:color w:val="auto"/>
                <w:szCs w:val="20"/>
                <w:highlight w:val="none"/>
              </w:rPr>
            </w:pPr>
            <w:r>
              <w:rPr>
                <w:rFonts w:hint="eastAsia" w:ascii="宋体" w:hAnsi="宋体"/>
                <w:snapToGrid w:val="0"/>
                <w:color w:val="auto"/>
                <w:szCs w:val="20"/>
                <w:highlight w:val="none"/>
              </w:rPr>
              <w:t>工作年限</w:t>
            </w:r>
          </w:p>
        </w:tc>
        <w:tc>
          <w:tcPr>
            <w:tcW w:w="846" w:type="dxa"/>
            <w:gridSpan w:val="2"/>
            <w:vAlign w:val="center"/>
          </w:tcPr>
          <w:p w14:paraId="139173EA">
            <w:pPr>
              <w:adjustRightInd w:val="0"/>
              <w:snapToGrid w:val="0"/>
              <w:spacing w:line="360" w:lineRule="auto"/>
              <w:jc w:val="distribute"/>
              <w:rPr>
                <w:rFonts w:ascii="宋体" w:hAnsi="宋体"/>
                <w:snapToGrid w:val="0"/>
                <w:color w:val="auto"/>
                <w:szCs w:val="20"/>
                <w:highlight w:val="none"/>
              </w:rPr>
            </w:pPr>
          </w:p>
        </w:tc>
        <w:tc>
          <w:tcPr>
            <w:tcW w:w="651" w:type="dxa"/>
            <w:vAlign w:val="center"/>
          </w:tcPr>
          <w:p w14:paraId="457BBCF5">
            <w:pPr>
              <w:adjustRightInd w:val="0"/>
              <w:snapToGrid w:val="0"/>
              <w:spacing w:line="360" w:lineRule="auto"/>
              <w:jc w:val="center"/>
              <w:rPr>
                <w:rFonts w:ascii="宋体" w:hAnsi="宋体"/>
                <w:snapToGrid w:val="0"/>
                <w:color w:val="auto"/>
                <w:szCs w:val="20"/>
                <w:highlight w:val="none"/>
              </w:rPr>
            </w:pPr>
            <w:r>
              <w:rPr>
                <w:rFonts w:hint="eastAsia" w:ascii="宋体" w:hAnsi="宋体"/>
                <w:snapToGrid w:val="0"/>
                <w:color w:val="auto"/>
                <w:szCs w:val="20"/>
                <w:highlight w:val="none"/>
              </w:rPr>
              <w:t>技术</w:t>
            </w:r>
          </w:p>
          <w:p w14:paraId="67FE1442">
            <w:pPr>
              <w:adjustRightInd w:val="0"/>
              <w:snapToGrid w:val="0"/>
              <w:spacing w:line="360" w:lineRule="auto"/>
              <w:jc w:val="center"/>
              <w:rPr>
                <w:rFonts w:ascii="宋体" w:hAnsi="宋体"/>
                <w:snapToGrid w:val="0"/>
                <w:color w:val="auto"/>
                <w:szCs w:val="20"/>
                <w:highlight w:val="none"/>
              </w:rPr>
            </w:pPr>
            <w:r>
              <w:rPr>
                <w:rFonts w:hint="eastAsia" w:ascii="宋体" w:hAnsi="宋体"/>
                <w:snapToGrid w:val="0"/>
                <w:color w:val="auto"/>
                <w:szCs w:val="20"/>
                <w:highlight w:val="none"/>
              </w:rPr>
              <w:t>特长</w:t>
            </w:r>
          </w:p>
        </w:tc>
        <w:tc>
          <w:tcPr>
            <w:tcW w:w="2135" w:type="dxa"/>
            <w:gridSpan w:val="2"/>
            <w:vAlign w:val="center"/>
          </w:tcPr>
          <w:p w14:paraId="205FC257">
            <w:pPr>
              <w:adjustRightInd w:val="0"/>
              <w:snapToGrid w:val="0"/>
              <w:spacing w:line="360" w:lineRule="auto"/>
              <w:jc w:val="center"/>
              <w:rPr>
                <w:rFonts w:ascii="宋体" w:hAnsi="宋体"/>
                <w:snapToGrid w:val="0"/>
                <w:color w:val="auto"/>
                <w:szCs w:val="20"/>
                <w:highlight w:val="none"/>
              </w:rPr>
            </w:pPr>
          </w:p>
        </w:tc>
      </w:tr>
      <w:tr w14:paraId="1CC124D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1377" w:hRule="atLeast"/>
          <w:jc w:val="center"/>
        </w:trPr>
        <w:tc>
          <w:tcPr>
            <w:tcW w:w="1668" w:type="dxa"/>
            <w:vAlign w:val="center"/>
          </w:tcPr>
          <w:p w14:paraId="68FF3097">
            <w:pPr>
              <w:adjustRightInd w:val="0"/>
              <w:snapToGrid w:val="0"/>
              <w:spacing w:line="360" w:lineRule="auto"/>
              <w:jc w:val="center"/>
              <w:rPr>
                <w:rFonts w:ascii="宋体" w:hAnsi="宋体"/>
                <w:snapToGrid w:val="0"/>
                <w:color w:val="auto"/>
                <w:szCs w:val="20"/>
                <w:highlight w:val="none"/>
              </w:rPr>
            </w:pPr>
            <w:r>
              <w:rPr>
                <w:rFonts w:hint="eastAsia" w:ascii="宋体" w:hAnsi="宋体"/>
                <w:snapToGrid w:val="0"/>
                <w:color w:val="auto"/>
                <w:szCs w:val="20"/>
                <w:highlight w:val="none"/>
              </w:rPr>
              <w:t>主要工作经历</w:t>
            </w:r>
          </w:p>
        </w:tc>
        <w:tc>
          <w:tcPr>
            <w:tcW w:w="7762" w:type="dxa"/>
            <w:gridSpan w:val="10"/>
            <w:vAlign w:val="center"/>
          </w:tcPr>
          <w:p w14:paraId="375094A4">
            <w:pPr>
              <w:adjustRightInd w:val="0"/>
              <w:snapToGrid w:val="0"/>
              <w:spacing w:line="360" w:lineRule="auto"/>
              <w:rPr>
                <w:rFonts w:ascii="宋体" w:hAnsi="宋体"/>
                <w:snapToGrid w:val="0"/>
                <w:color w:val="auto"/>
                <w:szCs w:val="20"/>
                <w:highlight w:val="none"/>
              </w:rPr>
            </w:pPr>
          </w:p>
          <w:p w14:paraId="3DF8C056">
            <w:pPr>
              <w:pStyle w:val="4"/>
              <w:outlineLvl w:val="9"/>
              <w:rPr>
                <w:color w:val="auto"/>
                <w:highlight w:val="none"/>
              </w:rPr>
            </w:pPr>
          </w:p>
          <w:p w14:paraId="5E9683D0">
            <w:pPr>
              <w:rPr>
                <w:color w:val="auto"/>
                <w:highlight w:val="none"/>
              </w:rPr>
            </w:pPr>
          </w:p>
          <w:p w14:paraId="120F2E3F">
            <w:pPr>
              <w:pStyle w:val="4"/>
              <w:outlineLvl w:val="9"/>
              <w:rPr>
                <w:color w:val="auto"/>
                <w:highlight w:val="none"/>
              </w:rPr>
            </w:pPr>
          </w:p>
          <w:p w14:paraId="68D6C9F4">
            <w:pPr>
              <w:rPr>
                <w:color w:val="auto"/>
                <w:highlight w:val="none"/>
              </w:rPr>
            </w:pPr>
          </w:p>
        </w:tc>
      </w:tr>
      <w:tr w14:paraId="227CCF7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1377" w:hRule="atLeast"/>
          <w:jc w:val="center"/>
        </w:trPr>
        <w:tc>
          <w:tcPr>
            <w:tcW w:w="1668" w:type="dxa"/>
            <w:vAlign w:val="center"/>
          </w:tcPr>
          <w:p w14:paraId="45EFAFC4">
            <w:pPr>
              <w:adjustRightInd w:val="0"/>
              <w:snapToGrid w:val="0"/>
              <w:spacing w:line="360" w:lineRule="auto"/>
              <w:jc w:val="center"/>
              <w:rPr>
                <w:rFonts w:ascii="宋体" w:hAnsi="宋体"/>
                <w:snapToGrid w:val="0"/>
                <w:color w:val="auto"/>
                <w:szCs w:val="20"/>
                <w:highlight w:val="none"/>
              </w:rPr>
            </w:pPr>
            <w:r>
              <w:rPr>
                <w:rFonts w:hint="eastAsia" w:ascii="宋体" w:hAnsi="宋体"/>
                <w:snapToGrid w:val="0"/>
                <w:color w:val="auto"/>
                <w:szCs w:val="20"/>
                <w:highlight w:val="none"/>
              </w:rPr>
              <w:t>类似</w:t>
            </w:r>
            <w:r>
              <w:rPr>
                <w:rFonts w:ascii="宋体" w:hAnsi="宋体"/>
                <w:snapToGrid w:val="0"/>
                <w:color w:val="auto"/>
                <w:szCs w:val="20"/>
                <w:highlight w:val="none"/>
              </w:rPr>
              <w:t>项目</w:t>
            </w:r>
            <w:r>
              <w:rPr>
                <w:rFonts w:hint="eastAsia" w:ascii="宋体" w:hAnsi="宋体"/>
                <w:snapToGrid w:val="0"/>
                <w:color w:val="auto"/>
                <w:szCs w:val="20"/>
                <w:highlight w:val="none"/>
              </w:rPr>
              <w:t>业绩</w:t>
            </w:r>
          </w:p>
        </w:tc>
        <w:tc>
          <w:tcPr>
            <w:tcW w:w="7762" w:type="dxa"/>
            <w:gridSpan w:val="10"/>
            <w:vAlign w:val="center"/>
          </w:tcPr>
          <w:p w14:paraId="63C410A9">
            <w:pPr>
              <w:adjustRightInd w:val="0"/>
              <w:snapToGrid w:val="0"/>
              <w:spacing w:line="360" w:lineRule="auto"/>
              <w:rPr>
                <w:rFonts w:ascii="宋体" w:hAnsi="宋体"/>
                <w:snapToGrid w:val="0"/>
                <w:color w:val="auto"/>
                <w:szCs w:val="20"/>
                <w:highlight w:val="none"/>
              </w:rPr>
            </w:pPr>
          </w:p>
          <w:p w14:paraId="4B24E3D4">
            <w:pPr>
              <w:pStyle w:val="4"/>
              <w:outlineLvl w:val="9"/>
              <w:rPr>
                <w:color w:val="auto"/>
                <w:highlight w:val="none"/>
              </w:rPr>
            </w:pPr>
          </w:p>
          <w:p w14:paraId="3E2BE001">
            <w:pPr>
              <w:rPr>
                <w:color w:val="auto"/>
                <w:highlight w:val="none"/>
              </w:rPr>
            </w:pPr>
          </w:p>
          <w:p w14:paraId="2E90E4C7">
            <w:pPr>
              <w:pStyle w:val="4"/>
              <w:outlineLvl w:val="9"/>
              <w:rPr>
                <w:color w:val="auto"/>
                <w:highlight w:val="none"/>
              </w:rPr>
            </w:pPr>
          </w:p>
          <w:p w14:paraId="28381406">
            <w:pPr>
              <w:rPr>
                <w:color w:val="auto"/>
                <w:highlight w:val="none"/>
              </w:rPr>
            </w:pPr>
          </w:p>
        </w:tc>
      </w:tr>
    </w:tbl>
    <w:p w14:paraId="722BA5FC">
      <w:pPr>
        <w:jc w:val="left"/>
        <w:rPr>
          <w:rFonts w:hint="eastAsia" w:ascii="宋体" w:hAnsi="宋体" w:cs="宋体"/>
          <w:szCs w:val="21"/>
          <w:highlight w:val="none"/>
        </w:rPr>
      </w:pPr>
      <w:r>
        <w:rPr>
          <w:rFonts w:hint="eastAsia" w:ascii="仿宋" w:hAnsi="仿宋" w:eastAsia="仿宋" w:cs="仿宋"/>
          <w:b w:val="0"/>
          <w:bCs w:val="0"/>
          <w:color w:val="auto"/>
          <w:sz w:val="24"/>
          <w:szCs w:val="24"/>
          <w:highlight w:val="none"/>
        </w:rPr>
        <w:t>提供有效证书及社保部门出具的在投标人处购买的</w:t>
      </w:r>
      <w:r>
        <w:rPr>
          <w:rFonts w:hint="eastAsia" w:ascii="仿宋" w:hAnsi="仿宋" w:eastAsia="仿宋" w:cs="仿宋"/>
          <w:b w:val="0"/>
          <w:bCs w:val="0"/>
          <w:sz w:val="24"/>
          <w:highlight w:val="none"/>
        </w:rPr>
        <w:t>近三个月</w:t>
      </w:r>
      <w:r>
        <w:rPr>
          <w:rFonts w:hint="eastAsia" w:ascii="仿宋" w:hAnsi="仿宋" w:eastAsia="仿宋" w:cs="仿宋"/>
          <w:b w:val="0"/>
          <w:bCs w:val="0"/>
          <w:color w:val="auto"/>
          <w:sz w:val="24"/>
          <w:szCs w:val="24"/>
          <w:highlight w:val="none"/>
        </w:rPr>
        <w:t>的社保证明复印件加盖投标人公章，原件备查</w:t>
      </w:r>
      <w:r>
        <w:rPr>
          <w:rFonts w:hint="eastAsia" w:ascii="宋体" w:hAnsi="宋体" w:cs="宋体"/>
          <w:szCs w:val="21"/>
          <w:highlight w:val="none"/>
        </w:rPr>
        <w:br w:type="page"/>
      </w:r>
    </w:p>
    <w:p w14:paraId="22AC0D87">
      <w:pPr>
        <w:jc w:val="center"/>
        <w:rPr>
          <w:color w:val="auto"/>
          <w:sz w:val="28"/>
          <w:szCs w:val="28"/>
          <w:highlight w:val="none"/>
        </w:rPr>
      </w:pPr>
      <w:bookmarkStart w:id="506" w:name="_Toc19806"/>
      <w:r>
        <w:rPr>
          <w:rFonts w:hint="eastAsia" w:ascii="宋体" w:hAnsi="宋体" w:eastAsia="黑体"/>
          <w:b w:val="0"/>
          <w:bCs/>
          <w:color w:val="auto"/>
          <w:sz w:val="36"/>
          <w:szCs w:val="28"/>
          <w:highlight w:val="none"/>
        </w:rPr>
        <w:t>拟投入本</w:t>
      </w:r>
      <w:r>
        <w:rPr>
          <w:rFonts w:hint="eastAsia" w:ascii="宋体" w:hAnsi="宋体" w:eastAsia="黑体" w:cs="Times New Roman"/>
          <w:b w:val="0"/>
          <w:bCs/>
          <w:color w:val="auto"/>
          <w:sz w:val="36"/>
          <w:szCs w:val="28"/>
          <w:highlight w:val="none"/>
        </w:rPr>
        <w:t>现场管理人员</w:t>
      </w:r>
      <w:r>
        <w:rPr>
          <w:rFonts w:hint="eastAsia" w:ascii="宋体" w:hAnsi="宋体" w:eastAsia="黑体"/>
          <w:b w:val="0"/>
          <w:bCs/>
          <w:color w:val="auto"/>
          <w:sz w:val="36"/>
          <w:szCs w:val="28"/>
          <w:highlight w:val="none"/>
        </w:rPr>
        <w:t>情况表</w:t>
      </w:r>
    </w:p>
    <w:tbl>
      <w:tblPr>
        <w:tblStyle w:val="44"/>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417"/>
        <w:gridCol w:w="1134"/>
        <w:gridCol w:w="1197"/>
        <w:gridCol w:w="2205"/>
        <w:gridCol w:w="1134"/>
      </w:tblGrid>
      <w:tr w14:paraId="035C9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42630244">
            <w:pPr>
              <w:jc w:val="center"/>
              <w:rPr>
                <w:rFonts w:ascii="黑体" w:hAnsi="黑体" w:eastAsia="黑体" w:cs="黑体"/>
                <w:color w:val="auto"/>
                <w:sz w:val="24"/>
                <w:highlight w:val="none"/>
              </w:rPr>
            </w:pPr>
            <w:r>
              <w:rPr>
                <w:rFonts w:hint="eastAsia" w:ascii="黑体" w:hAnsi="黑体" w:eastAsia="黑体" w:cs="黑体"/>
                <w:color w:val="auto"/>
                <w:sz w:val="24"/>
                <w:highlight w:val="none"/>
              </w:rPr>
              <w:t>序号</w:t>
            </w:r>
          </w:p>
        </w:tc>
        <w:tc>
          <w:tcPr>
            <w:tcW w:w="1417" w:type="dxa"/>
            <w:vAlign w:val="center"/>
          </w:tcPr>
          <w:p w14:paraId="485BC724">
            <w:pPr>
              <w:jc w:val="center"/>
              <w:rPr>
                <w:rFonts w:ascii="黑体" w:hAnsi="黑体" w:eastAsia="黑体" w:cs="黑体"/>
                <w:color w:val="auto"/>
                <w:sz w:val="24"/>
                <w:highlight w:val="none"/>
              </w:rPr>
            </w:pPr>
            <w:r>
              <w:rPr>
                <w:rFonts w:hint="eastAsia" w:ascii="黑体" w:hAnsi="黑体" w:eastAsia="黑体" w:cs="黑体"/>
                <w:color w:val="auto"/>
                <w:sz w:val="24"/>
                <w:highlight w:val="none"/>
              </w:rPr>
              <w:t>职务名称</w:t>
            </w:r>
          </w:p>
        </w:tc>
        <w:tc>
          <w:tcPr>
            <w:tcW w:w="1134" w:type="dxa"/>
            <w:vAlign w:val="center"/>
          </w:tcPr>
          <w:p w14:paraId="42F01978">
            <w:pPr>
              <w:jc w:val="center"/>
              <w:rPr>
                <w:rFonts w:ascii="黑体" w:hAnsi="黑体" w:eastAsia="黑体" w:cs="黑体"/>
                <w:color w:val="auto"/>
                <w:sz w:val="24"/>
                <w:highlight w:val="none"/>
              </w:rPr>
            </w:pPr>
            <w:r>
              <w:rPr>
                <w:rFonts w:hint="eastAsia" w:ascii="黑体" w:hAnsi="黑体" w:eastAsia="黑体" w:cs="黑体"/>
                <w:color w:val="auto"/>
                <w:sz w:val="24"/>
                <w:highlight w:val="none"/>
              </w:rPr>
              <w:t>姓名</w:t>
            </w:r>
          </w:p>
        </w:tc>
        <w:tc>
          <w:tcPr>
            <w:tcW w:w="1197" w:type="dxa"/>
            <w:vAlign w:val="center"/>
          </w:tcPr>
          <w:p w14:paraId="6EFF4FA7">
            <w:pPr>
              <w:jc w:val="center"/>
              <w:rPr>
                <w:rFonts w:ascii="黑体" w:hAnsi="黑体" w:eastAsia="黑体" w:cs="黑体"/>
                <w:color w:val="auto"/>
                <w:sz w:val="24"/>
                <w:highlight w:val="none"/>
              </w:rPr>
            </w:pPr>
            <w:r>
              <w:rPr>
                <w:rFonts w:hint="eastAsia" w:ascii="黑体" w:hAnsi="黑体" w:eastAsia="黑体" w:cs="黑体"/>
                <w:color w:val="auto"/>
                <w:sz w:val="24"/>
                <w:highlight w:val="none"/>
              </w:rPr>
              <w:t>职称</w:t>
            </w:r>
          </w:p>
        </w:tc>
        <w:tc>
          <w:tcPr>
            <w:tcW w:w="2205" w:type="dxa"/>
            <w:vAlign w:val="center"/>
          </w:tcPr>
          <w:p w14:paraId="3E648AEE">
            <w:pPr>
              <w:jc w:val="center"/>
              <w:rPr>
                <w:rFonts w:ascii="黑体" w:hAnsi="黑体" w:eastAsia="黑体" w:cs="黑体"/>
                <w:color w:val="auto"/>
                <w:sz w:val="24"/>
                <w:highlight w:val="none"/>
              </w:rPr>
            </w:pPr>
            <w:r>
              <w:rPr>
                <w:rFonts w:hint="eastAsia" w:ascii="黑体" w:hAnsi="黑体" w:eastAsia="黑体" w:cs="黑体"/>
                <w:color w:val="auto"/>
                <w:sz w:val="24"/>
                <w:highlight w:val="none"/>
              </w:rPr>
              <w:t>项目业绩</w:t>
            </w:r>
          </w:p>
        </w:tc>
        <w:tc>
          <w:tcPr>
            <w:tcW w:w="1134" w:type="dxa"/>
            <w:vAlign w:val="center"/>
          </w:tcPr>
          <w:p w14:paraId="600C7F5D">
            <w:pPr>
              <w:jc w:val="center"/>
              <w:rPr>
                <w:rFonts w:ascii="黑体" w:hAnsi="黑体" w:eastAsia="黑体" w:cs="黑体"/>
                <w:color w:val="auto"/>
                <w:sz w:val="24"/>
                <w:highlight w:val="none"/>
              </w:rPr>
            </w:pPr>
            <w:r>
              <w:rPr>
                <w:rFonts w:hint="eastAsia" w:ascii="黑体" w:hAnsi="黑体" w:eastAsia="黑体" w:cs="黑体"/>
                <w:color w:val="auto"/>
                <w:sz w:val="24"/>
                <w:highlight w:val="none"/>
              </w:rPr>
              <w:t>备注</w:t>
            </w:r>
          </w:p>
        </w:tc>
      </w:tr>
      <w:tr w14:paraId="3998D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50" w:type="dxa"/>
            <w:vAlign w:val="center"/>
          </w:tcPr>
          <w:p w14:paraId="0901DF1C">
            <w:pPr>
              <w:jc w:val="center"/>
              <w:rPr>
                <w:rFonts w:ascii="黑体" w:hAnsi="黑体" w:eastAsia="黑体" w:cs="黑体"/>
                <w:color w:val="auto"/>
                <w:sz w:val="24"/>
                <w:highlight w:val="none"/>
              </w:rPr>
            </w:pPr>
            <w:r>
              <w:rPr>
                <w:rFonts w:ascii="黑体" w:hAnsi="黑体" w:eastAsia="黑体" w:cs="黑体"/>
                <w:color w:val="auto"/>
                <w:sz w:val="24"/>
                <w:highlight w:val="none"/>
              </w:rPr>
              <w:t>1</w:t>
            </w:r>
          </w:p>
        </w:tc>
        <w:tc>
          <w:tcPr>
            <w:tcW w:w="1417" w:type="dxa"/>
            <w:vAlign w:val="center"/>
          </w:tcPr>
          <w:p w14:paraId="0402AD60">
            <w:pPr>
              <w:keepNext/>
              <w:keepLines/>
              <w:spacing w:before="340" w:after="330" w:line="578" w:lineRule="auto"/>
              <w:jc w:val="center"/>
              <w:rPr>
                <w:rFonts w:ascii="黑体" w:hAnsi="黑体" w:eastAsia="黑体" w:cs="黑体"/>
                <w:color w:val="auto"/>
                <w:sz w:val="24"/>
                <w:highlight w:val="none"/>
              </w:rPr>
            </w:pPr>
          </w:p>
        </w:tc>
        <w:tc>
          <w:tcPr>
            <w:tcW w:w="1134" w:type="dxa"/>
            <w:vAlign w:val="center"/>
          </w:tcPr>
          <w:p w14:paraId="0F2E1309">
            <w:pPr>
              <w:keepNext/>
              <w:keepLines/>
              <w:spacing w:before="340" w:after="330" w:line="578" w:lineRule="auto"/>
              <w:jc w:val="center"/>
              <w:rPr>
                <w:rFonts w:ascii="黑体" w:hAnsi="黑体" w:eastAsia="黑体" w:cs="黑体"/>
                <w:color w:val="auto"/>
                <w:sz w:val="24"/>
                <w:highlight w:val="none"/>
              </w:rPr>
            </w:pPr>
          </w:p>
        </w:tc>
        <w:tc>
          <w:tcPr>
            <w:tcW w:w="1197" w:type="dxa"/>
            <w:vAlign w:val="center"/>
          </w:tcPr>
          <w:p w14:paraId="34856B5B">
            <w:pPr>
              <w:keepNext/>
              <w:keepLines/>
              <w:spacing w:before="340" w:after="330" w:line="578" w:lineRule="auto"/>
              <w:jc w:val="center"/>
              <w:rPr>
                <w:rFonts w:ascii="黑体" w:hAnsi="黑体" w:eastAsia="黑体" w:cs="黑体"/>
                <w:color w:val="auto"/>
                <w:sz w:val="24"/>
                <w:highlight w:val="none"/>
              </w:rPr>
            </w:pPr>
          </w:p>
        </w:tc>
        <w:tc>
          <w:tcPr>
            <w:tcW w:w="2205" w:type="dxa"/>
            <w:vAlign w:val="center"/>
          </w:tcPr>
          <w:p w14:paraId="5C60BDD4">
            <w:pPr>
              <w:keepNext/>
              <w:keepLines/>
              <w:spacing w:before="340" w:after="330" w:line="578" w:lineRule="auto"/>
              <w:jc w:val="center"/>
              <w:rPr>
                <w:rFonts w:ascii="黑体" w:hAnsi="黑体" w:eastAsia="黑体" w:cs="黑体"/>
                <w:color w:val="auto"/>
                <w:sz w:val="24"/>
                <w:highlight w:val="none"/>
              </w:rPr>
            </w:pPr>
          </w:p>
        </w:tc>
        <w:tc>
          <w:tcPr>
            <w:tcW w:w="1134" w:type="dxa"/>
            <w:vAlign w:val="center"/>
          </w:tcPr>
          <w:p w14:paraId="4D1EF572">
            <w:pPr>
              <w:keepNext/>
              <w:keepLines/>
              <w:spacing w:before="340" w:after="330" w:line="578" w:lineRule="auto"/>
              <w:jc w:val="center"/>
              <w:rPr>
                <w:rFonts w:ascii="黑体" w:hAnsi="黑体" w:eastAsia="黑体" w:cs="黑体"/>
                <w:color w:val="auto"/>
                <w:sz w:val="24"/>
                <w:highlight w:val="none"/>
              </w:rPr>
            </w:pPr>
          </w:p>
        </w:tc>
      </w:tr>
      <w:tr w14:paraId="3639B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50" w:type="dxa"/>
            <w:vAlign w:val="center"/>
          </w:tcPr>
          <w:p w14:paraId="02765259">
            <w:pPr>
              <w:jc w:val="center"/>
              <w:rPr>
                <w:rFonts w:ascii="黑体" w:hAnsi="黑体" w:eastAsia="黑体" w:cs="黑体"/>
                <w:color w:val="auto"/>
                <w:sz w:val="24"/>
                <w:highlight w:val="none"/>
              </w:rPr>
            </w:pPr>
            <w:r>
              <w:rPr>
                <w:rFonts w:ascii="黑体" w:hAnsi="黑体" w:eastAsia="黑体" w:cs="黑体"/>
                <w:color w:val="auto"/>
                <w:sz w:val="24"/>
                <w:highlight w:val="none"/>
              </w:rPr>
              <w:t>2</w:t>
            </w:r>
          </w:p>
        </w:tc>
        <w:tc>
          <w:tcPr>
            <w:tcW w:w="1417" w:type="dxa"/>
            <w:vAlign w:val="center"/>
          </w:tcPr>
          <w:p w14:paraId="7968EBF4">
            <w:pPr>
              <w:keepNext/>
              <w:keepLines/>
              <w:spacing w:before="340" w:after="330" w:line="578" w:lineRule="auto"/>
              <w:jc w:val="center"/>
              <w:rPr>
                <w:rFonts w:ascii="黑体" w:hAnsi="黑体" w:eastAsia="黑体" w:cs="黑体"/>
                <w:color w:val="auto"/>
                <w:sz w:val="24"/>
                <w:highlight w:val="none"/>
              </w:rPr>
            </w:pPr>
          </w:p>
        </w:tc>
        <w:tc>
          <w:tcPr>
            <w:tcW w:w="1134" w:type="dxa"/>
            <w:vAlign w:val="center"/>
          </w:tcPr>
          <w:p w14:paraId="353078CE">
            <w:pPr>
              <w:keepNext/>
              <w:keepLines/>
              <w:spacing w:before="340" w:after="330" w:line="578" w:lineRule="auto"/>
              <w:jc w:val="center"/>
              <w:rPr>
                <w:rFonts w:ascii="黑体" w:hAnsi="黑体" w:eastAsia="黑体" w:cs="黑体"/>
                <w:color w:val="auto"/>
                <w:sz w:val="24"/>
                <w:highlight w:val="none"/>
              </w:rPr>
            </w:pPr>
          </w:p>
        </w:tc>
        <w:tc>
          <w:tcPr>
            <w:tcW w:w="1197" w:type="dxa"/>
            <w:vAlign w:val="center"/>
          </w:tcPr>
          <w:p w14:paraId="0CD723F3">
            <w:pPr>
              <w:keepNext/>
              <w:keepLines/>
              <w:spacing w:before="340" w:after="330" w:line="578" w:lineRule="auto"/>
              <w:jc w:val="center"/>
              <w:rPr>
                <w:rFonts w:ascii="黑体" w:hAnsi="黑体" w:eastAsia="黑体" w:cs="黑体"/>
                <w:color w:val="auto"/>
                <w:sz w:val="24"/>
                <w:highlight w:val="none"/>
              </w:rPr>
            </w:pPr>
          </w:p>
        </w:tc>
        <w:tc>
          <w:tcPr>
            <w:tcW w:w="2205" w:type="dxa"/>
            <w:vAlign w:val="center"/>
          </w:tcPr>
          <w:p w14:paraId="173F4AA1">
            <w:pPr>
              <w:keepNext/>
              <w:keepLines/>
              <w:spacing w:before="340" w:after="330" w:line="578" w:lineRule="auto"/>
              <w:jc w:val="center"/>
              <w:rPr>
                <w:rFonts w:ascii="黑体" w:hAnsi="黑体" w:eastAsia="黑体" w:cs="黑体"/>
                <w:color w:val="auto"/>
                <w:sz w:val="24"/>
                <w:highlight w:val="none"/>
              </w:rPr>
            </w:pPr>
          </w:p>
        </w:tc>
        <w:tc>
          <w:tcPr>
            <w:tcW w:w="1134" w:type="dxa"/>
            <w:vAlign w:val="center"/>
          </w:tcPr>
          <w:p w14:paraId="3C5A623B">
            <w:pPr>
              <w:keepNext/>
              <w:keepLines/>
              <w:spacing w:before="340" w:after="330" w:line="578" w:lineRule="auto"/>
              <w:jc w:val="center"/>
              <w:rPr>
                <w:rFonts w:ascii="黑体" w:hAnsi="黑体" w:eastAsia="黑体" w:cs="黑体"/>
                <w:color w:val="auto"/>
                <w:sz w:val="24"/>
                <w:highlight w:val="none"/>
              </w:rPr>
            </w:pPr>
          </w:p>
        </w:tc>
      </w:tr>
      <w:tr w14:paraId="60489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50" w:type="dxa"/>
            <w:vAlign w:val="center"/>
          </w:tcPr>
          <w:p w14:paraId="0806844C">
            <w:pPr>
              <w:jc w:val="center"/>
              <w:rPr>
                <w:rFonts w:ascii="黑体" w:hAnsi="黑体" w:eastAsia="黑体" w:cs="黑体"/>
                <w:color w:val="auto"/>
                <w:sz w:val="24"/>
                <w:highlight w:val="none"/>
              </w:rPr>
            </w:pPr>
            <w:r>
              <w:rPr>
                <w:rFonts w:ascii="黑体" w:hAnsi="黑体" w:eastAsia="黑体" w:cs="黑体"/>
                <w:color w:val="auto"/>
                <w:sz w:val="24"/>
                <w:highlight w:val="none"/>
              </w:rPr>
              <w:t>3</w:t>
            </w:r>
          </w:p>
        </w:tc>
        <w:tc>
          <w:tcPr>
            <w:tcW w:w="1417" w:type="dxa"/>
            <w:vAlign w:val="center"/>
          </w:tcPr>
          <w:p w14:paraId="1C3FCB0C">
            <w:pPr>
              <w:keepNext/>
              <w:keepLines/>
              <w:spacing w:before="340" w:after="330" w:line="578" w:lineRule="auto"/>
              <w:jc w:val="center"/>
              <w:rPr>
                <w:rFonts w:ascii="黑体" w:hAnsi="黑体" w:eastAsia="黑体" w:cs="黑体"/>
                <w:color w:val="auto"/>
                <w:sz w:val="24"/>
                <w:highlight w:val="none"/>
              </w:rPr>
            </w:pPr>
          </w:p>
        </w:tc>
        <w:tc>
          <w:tcPr>
            <w:tcW w:w="1134" w:type="dxa"/>
            <w:vAlign w:val="center"/>
          </w:tcPr>
          <w:p w14:paraId="5F64A8C9">
            <w:pPr>
              <w:keepNext/>
              <w:keepLines/>
              <w:spacing w:before="340" w:after="330" w:line="578" w:lineRule="auto"/>
              <w:jc w:val="center"/>
              <w:rPr>
                <w:rFonts w:ascii="黑体" w:hAnsi="黑体" w:eastAsia="黑体" w:cs="黑体"/>
                <w:color w:val="auto"/>
                <w:sz w:val="24"/>
                <w:highlight w:val="none"/>
              </w:rPr>
            </w:pPr>
          </w:p>
        </w:tc>
        <w:tc>
          <w:tcPr>
            <w:tcW w:w="1197" w:type="dxa"/>
            <w:vAlign w:val="center"/>
          </w:tcPr>
          <w:p w14:paraId="43FD32B4">
            <w:pPr>
              <w:keepNext/>
              <w:keepLines/>
              <w:spacing w:before="340" w:after="330" w:line="578" w:lineRule="auto"/>
              <w:jc w:val="center"/>
              <w:rPr>
                <w:rFonts w:ascii="黑体" w:hAnsi="黑体" w:eastAsia="黑体" w:cs="黑体"/>
                <w:color w:val="auto"/>
                <w:sz w:val="24"/>
                <w:highlight w:val="none"/>
              </w:rPr>
            </w:pPr>
          </w:p>
        </w:tc>
        <w:tc>
          <w:tcPr>
            <w:tcW w:w="2205" w:type="dxa"/>
            <w:vAlign w:val="center"/>
          </w:tcPr>
          <w:p w14:paraId="069EFD11">
            <w:pPr>
              <w:keepNext/>
              <w:keepLines/>
              <w:spacing w:before="340" w:after="330" w:line="578" w:lineRule="auto"/>
              <w:jc w:val="center"/>
              <w:rPr>
                <w:rFonts w:ascii="黑体" w:hAnsi="黑体" w:eastAsia="黑体" w:cs="黑体"/>
                <w:color w:val="auto"/>
                <w:sz w:val="24"/>
                <w:highlight w:val="none"/>
              </w:rPr>
            </w:pPr>
          </w:p>
        </w:tc>
        <w:tc>
          <w:tcPr>
            <w:tcW w:w="1134" w:type="dxa"/>
            <w:vAlign w:val="center"/>
          </w:tcPr>
          <w:p w14:paraId="5E349422">
            <w:pPr>
              <w:keepNext/>
              <w:keepLines/>
              <w:spacing w:before="340" w:after="330" w:line="578" w:lineRule="auto"/>
              <w:jc w:val="center"/>
              <w:rPr>
                <w:rFonts w:ascii="黑体" w:hAnsi="黑体" w:eastAsia="黑体" w:cs="黑体"/>
                <w:color w:val="auto"/>
                <w:sz w:val="24"/>
                <w:highlight w:val="none"/>
              </w:rPr>
            </w:pPr>
          </w:p>
        </w:tc>
      </w:tr>
      <w:tr w14:paraId="4148A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50" w:type="dxa"/>
            <w:vAlign w:val="center"/>
          </w:tcPr>
          <w:p w14:paraId="68871C71">
            <w:pPr>
              <w:jc w:val="center"/>
              <w:rPr>
                <w:rFonts w:ascii="黑体" w:hAnsi="黑体" w:eastAsia="黑体" w:cs="黑体"/>
                <w:color w:val="auto"/>
                <w:sz w:val="24"/>
                <w:highlight w:val="none"/>
              </w:rPr>
            </w:pPr>
            <w:r>
              <w:rPr>
                <w:rFonts w:hint="eastAsia" w:ascii="黑体" w:hAnsi="黑体" w:eastAsia="黑体" w:cs="黑体"/>
                <w:color w:val="auto"/>
                <w:sz w:val="24"/>
                <w:highlight w:val="none"/>
              </w:rPr>
              <w:t>4</w:t>
            </w:r>
          </w:p>
        </w:tc>
        <w:tc>
          <w:tcPr>
            <w:tcW w:w="1417" w:type="dxa"/>
            <w:vAlign w:val="center"/>
          </w:tcPr>
          <w:p w14:paraId="3BF7D791">
            <w:pPr>
              <w:keepNext/>
              <w:keepLines/>
              <w:spacing w:before="340" w:after="330" w:line="578" w:lineRule="auto"/>
              <w:jc w:val="center"/>
              <w:rPr>
                <w:rFonts w:ascii="黑体" w:hAnsi="黑体" w:eastAsia="黑体" w:cs="黑体"/>
                <w:color w:val="auto"/>
                <w:sz w:val="24"/>
                <w:highlight w:val="none"/>
              </w:rPr>
            </w:pPr>
          </w:p>
        </w:tc>
        <w:tc>
          <w:tcPr>
            <w:tcW w:w="1134" w:type="dxa"/>
            <w:vAlign w:val="center"/>
          </w:tcPr>
          <w:p w14:paraId="30FBD995">
            <w:pPr>
              <w:keepNext/>
              <w:keepLines/>
              <w:spacing w:before="340" w:after="330" w:line="578" w:lineRule="auto"/>
              <w:jc w:val="center"/>
              <w:rPr>
                <w:rFonts w:ascii="黑体" w:hAnsi="黑体" w:eastAsia="黑体" w:cs="黑体"/>
                <w:bCs/>
                <w:color w:val="auto"/>
                <w:sz w:val="24"/>
                <w:highlight w:val="none"/>
              </w:rPr>
            </w:pPr>
          </w:p>
        </w:tc>
        <w:tc>
          <w:tcPr>
            <w:tcW w:w="1197" w:type="dxa"/>
            <w:vAlign w:val="center"/>
          </w:tcPr>
          <w:p w14:paraId="4A471809">
            <w:pPr>
              <w:keepNext/>
              <w:keepLines/>
              <w:spacing w:before="340" w:after="330" w:line="578" w:lineRule="auto"/>
              <w:jc w:val="center"/>
              <w:rPr>
                <w:rFonts w:ascii="黑体" w:hAnsi="黑体" w:eastAsia="黑体" w:cs="黑体"/>
                <w:bCs/>
                <w:color w:val="auto"/>
                <w:sz w:val="24"/>
                <w:highlight w:val="none"/>
              </w:rPr>
            </w:pPr>
          </w:p>
        </w:tc>
        <w:tc>
          <w:tcPr>
            <w:tcW w:w="2205" w:type="dxa"/>
            <w:vAlign w:val="center"/>
          </w:tcPr>
          <w:p w14:paraId="368E4CE4">
            <w:pPr>
              <w:keepNext/>
              <w:keepLines/>
              <w:spacing w:before="340" w:after="330" w:line="578" w:lineRule="auto"/>
              <w:jc w:val="center"/>
              <w:rPr>
                <w:rFonts w:ascii="黑体" w:hAnsi="黑体" w:eastAsia="黑体" w:cs="黑体"/>
                <w:bCs/>
                <w:color w:val="auto"/>
                <w:sz w:val="24"/>
                <w:highlight w:val="none"/>
              </w:rPr>
            </w:pPr>
          </w:p>
        </w:tc>
        <w:tc>
          <w:tcPr>
            <w:tcW w:w="1134" w:type="dxa"/>
            <w:vAlign w:val="center"/>
          </w:tcPr>
          <w:p w14:paraId="1BB4F5D2">
            <w:pPr>
              <w:keepNext/>
              <w:keepLines/>
              <w:spacing w:before="340" w:after="330" w:line="578" w:lineRule="auto"/>
              <w:jc w:val="center"/>
              <w:rPr>
                <w:rFonts w:ascii="黑体" w:hAnsi="黑体" w:eastAsia="黑体" w:cs="黑体"/>
                <w:bCs/>
                <w:color w:val="auto"/>
                <w:sz w:val="24"/>
                <w:highlight w:val="none"/>
              </w:rPr>
            </w:pPr>
          </w:p>
        </w:tc>
      </w:tr>
      <w:tr w14:paraId="55E6C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50" w:type="dxa"/>
            <w:vAlign w:val="center"/>
          </w:tcPr>
          <w:p w14:paraId="437EA139">
            <w:pPr>
              <w:jc w:val="center"/>
              <w:rPr>
                <w:rFonts w:ascii="黑体" w:hAnsi="黑体" w:eastAsia="黑体" w:cs="黑体"/>
                <w:color w:val="auto"/>
                <w:sz w:val="24"/>
                <w:highlight w:val="none"/>
              </w:rPr>
            </w:pPr>
            <w:r>
              <w:rPr>
                <w:rFonts w:hint="eastAsia" w:ascii="黑体" w:hAnsi="黑体" w:eastAsia="黑体" w:cs="黑体"/>
                <w:color w:val="auto"/>
                <w:sz w:val="24"/>
                <w:highlight w:val="none"/>
              </w:rPr>
              <w:t>5</w:t>
            </w:r>
          </w:p>
        </w:tc>
        <w:tc>
          <w:tcPr>
            <w:tcW w:w="1417" w:type="dxa"/>
            <w:vAlign w:val="center"/>
          </w:tcPr>
          <w:p w14:paraId="7330692C">
            <w:pPr>
              <w:keepNext/>
              <w:keepLines/>
              <w:spacing w:before="340" w:after="330" w:line="578" w:lineRule="auto"/>
              <w:jc w:val="center"/>
              <w:rPr>
                <w:rFonts w:ascii="黑体" w:hAnsi="黑体" w:eastAsia="黑体" w:cs="黑体"/>
                <w:color w:val="auto"/>
                <w:sz w:val="24"/>
                <w:highlight w:val="none"/>
              </w:rPr>
            </w:pPr>
          </w:p>
        </w:tc>
        <w:tc>
          <w:tcPr>
            <w:tcW w:w="1134" w:type="dxa"/>
            <w:vAlign w:val="center"/>
          </w:tcPr>
          <w:p w14:paraId="447826B5">
            <w:pPr>
              <w:keepNext/>
              <w:keepLines/>
              <w:spacing w:before="340" w:after="330" w:line="578" w:lineRule="auto"/>
              <w:jc w:val="center"/>
              <w:rPr>
                <w:rFonts w:ascii="黑体" w:hAnsi="黑体" w:eastAsia="黑体" w:cs="黑体"/>
                <w:bCs/>
                <w:color w:val="auto"/>
                <w:sz w:val="24"/>
                <w:highlight w:val="none"/>
              </w:rPr>
            </w:pPr>
          </w:p>
        </w:tc>
        <w:tc>
          <w:tcPr>
            <w:tcW w:w="1197" w:type="dxa"/>
            <w:vAlign w:val="center"/>
          </w:tcPr>
          <w:p w14:paraId="67864EBD">
            <w:pPr>
              <w:keepNext/>
              <w:keepLines/>
              <w:spacing w:before="340" w:after="330" w:line="578" w:lineRule="auto"/>
              <w:jc w:val="center"/>
              <w:rPr>
                <w:rFonts w:ascii="黑体" w:hAnsi="黑体" w:eastAsia="黑体" w:cs="黑体"/>
                <w:bCs/>
                <w:color w:val="auto"/>
                <w:sz w:val="24"/>
                <w:highlight w:val="none"/>
              </w:rPr>
            </w:pPr>
          </w:p>
        </w:tc>
        <w:tc>
          <w:tcPr>
            <w:tcW w:w="2205" w:type="dxa"/>
            <w:vAlign w:val="center"/>
          </w:tcPr>
          <w:p w14:paraId="665BD69B">
            <w:pPr>
              <w:keepNext/>
              <w:keepLines/>
              <w:spacing w:before="340" w:after="330" w:line="578" w:lineRule="auto"/>
              <w:jc w:val="center"/>
              <w:rPr>
                <w:rFonts w:ascii="黑体" w:hAnsi="黑体" w:eastAsia="黑体" w:cs="黑体"/>
                <w:bCs/>
                <w:color w:val="auto"/>
                <w:sz w:val="24"/>
                <w:highlight w:val="none"/>
              </w:rPr>
            </w:pPr>
          </w:p>
        </w:tc>
        <w:tc>
          <w:tcPr>
            <w:tcW w:w="1134" w:type="dxa"/>
            <w:vAlign w:val="center"/>
          </w:tcPr>
          <w:p w14:paraId="737FC56E">
            <w:pPr>
              <w:keepNext/>
              <w:keepLines/>
              <w:spacing w:before="340" w:after="330" w:line="578" w:lineRule="auto"/>
              <w:jc w:val="center"/>
              <w:rPr>
                <w:rFonts w:ascii="黑体" w:hAnsi="黑体" w:eastAsia="黑体" w:cs="黑体"/>
                <w:bCs/>
                <w:color w:val="auto"/>
                <w:sz w:val="24"/>
                <w:highlight w:val="none"/>
              </w:rPr>
            </w:pPr>
          </w:p>
        </w:tc>
      </w:tr>
      <w:tr w14:paraId="57707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50" w:type="dxa"/>
            <w:vAlign w:val="center"/>
          </w:tcPr>
          <w:p w14:paraId="00823269">
            <w:pPr>
              <w:jc w:val="center"/>
              <w:rPr>
                <w:rFonts w:ascii="黑体" w:hAnsi="黑体" w:eastAsia="黑体" w:cs="黑体"/>
                <w:color w:val="auto"/>
                <w:sz w:val="24"/>
                <w:highlight w:val="none"/>
              </w:rPr>
            </w:pPr>
          </w:p>
        </w:tc>
        <w:tc>
          <w:tcPr>
            <w:tcW w:w="1417" w:type="dxa"/>
            <w:vAlign w:val="center"/>
          </w:tcPr>
          <w:p w14:paraId="0D05BFCB">
            <w:pPr>
              <w:keepNext/>
              <w:keepLines/>
              <w:spacing w:before="340" w:after="330" w:line="578" w:lineRule="auto"/>
              <w:jc w:val="center"/>
              <w:rPr>
                <w:rFonts w:ascii="黑体" w:hAnsi="黑体" w:eastAsia="黑体" w:cs="黑体"/>
                <w:color w:val="auto"/>
                <w:sz w:val="24"/>
                <w:highlight w:val="none"/>
              </w:rPr>
            </w:pPr>
          </w:p>
        </w:tc>
        <w:tc>
          <w:tcPr>
            <w:tcW w:w="1134" w:type="dxa"/>
            <w:vAlign w:val="center"/>
          </w:tcPr>
          <w:p w14:paraId="6D6DFA17">
            <w:pPr>
              <w:keepNext/>
              <w:keepLines/>
              <w:spacing w:before="340" w:after="330" w:line="578" w:lineRule="auto"/>
              <w:jc w:val="center"/>
              <w:rPr>
                <w:rFonts w:ascii="黑体" w:hAnsi="黑体" w:eastAsia="黑体" w:cs="黑体"/>
                <w:bCs/>
                <w:color w:val="auto"/>
                <w:sz w:val="24"/>
                <w:highlight w:val="none"/>
              </w:rPr>
            </w:pPr>
          </w:p>
        </w:tc>
        <w:tc>
          <w:tcPr>
            <w:tcW w:w="1197" w:type="dxa"/>
            <w:vAlign w:val="center"/>
          </w:tcPr>
          <w:p w14:paraId="7E5B0515">
            <w:pPr>
              <w:keepNext/>
              <w:keepLines/>
              <w:spacing w:before="340" w:after="330" w:line="578" w:lineRule="auto"/>
              <w:jc w:val="center"/>
              <w:rPr>
                <w:rFonts w:ascii="黑体" w:hAnsi="黑体" w:eastAsia="黑体" w:cs="黑体"/>
                <w:bCs/>
                <w:color w:val="auto"/>
                <w:sz w:val="24"/>
                <w:highlight w:val="none"/>
              </w:rPr>
            </w:pPr>
          </w:p>
        </w:tc>
        <w:tc>
          <w:tcPr>
            <w:tcW w:w="2205" w:type="dxa"/>
            <w:vAlign w:val="center"/>
          </w:tcPr>
          <w:p w14:paraId="4CF2ADBD">
            <w:pPr>
              <w:keepNext/>
              <w:keepLines/>
              <w:spacing w:before="340" w:after="330" w:line="578" w:lineRule="auto"/>
              <w:jc w:val="center"/>
              <w:rPr>
                <w:rFonts w:ascii="黑体" w:hAnsi="黑体" w:eastAsia="黑体" w:cs="黑体"/>
                <w:bCs/>
                <w:color w:val="auto"/>
                <w:sz w:val="24"/>
                <w:highlight w:val="none"/>
              </w:rPr>
            </w:pPr>
          </w:p>
        </w:tc>
        <w:tc>
          <w:tcPr>
            <w:tcW w:w="1134" w:type="dxa"/>
            <w:vAlign w:val="center"/>
          </w:tcPr>
          <w:p w14:paraId="0E5E1D3B">
            <w:pPr>
              <w:keepNext/>
              <w:keepLines/>
              <w:spacing w:before="340" w:after="330" w:line="578" w:lineRule="auto"/>
              <w:jc w:val="center"/>
              <w:rPr>
                <w:rFonts w:ascii="黑体" w:hAnsi="黑体" w:eastAsia="黑体" w:cs="黑体"/>
                <w:bCs/>
                <w:color w:val="auto"/>
                <w:sz w:val="24"/>
                <w:highlight w:val="none"/>
              </w:rPr>
            </w:pPr>
          </w:p>
        </w:tc>
      </w:tr>
      <w:tr w14:paraId="7D1EB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50" w:type="dxa"/>
            <w:vAlign w:val="center"/>
          </w:tcPr>
          <w:p w14:paraId="580077C1">
            <w:pPr>
              <w:jc w:val="center"/>
              <w:rPr>
                <w:rFonts w:ascii="黑体" w:hAnsi="黑体" w:eastAsia="黑体" w:cs="黑体"/>
                <w:color w:val="auto"/>
                <w:sz w:val="24"/>
                <w:highlight w:val="none"/>
              </w:rPr>
            </w:pPr>
          </w:p>
        </w:tc>
        <w:tc>
          <w:tcPr>
            <w:tcW w:w="1417" w:type="dxa"/>
            <w:vAlign w:val="center"/>
          </w:tcPr>
          <w:p w14:paraId="3103A45B">
            <w:pPr>
              <w:keepNext/>
              <w:keepLines/>
              <w:spacing w:before="340" w:after="330" w:line="578" w:lineRule="auto"/>
              <w:jc w:val="center"/>
              <w:rPr>
                <w:rFonts w:ascii="黑体" w:hAnsi="黑体" w:eastAsia="黑体" w:cs="黑体"/>
                <w:color w:val="auto"/>
                <w:sz w:val="24"/>
                <w:highlight w:val="none"/>
              </w:rPr>
            </w:pPr>
          </w:p>
        </w:tc>
        <w:tc>
          <w:tcPr>
            <w:tcW w:w="1134" w:type="dxa"/>
            <w:vAlign w:val="center"/>
          </w:tcPr>
          <w:p w14:paraId="1D987880">
            <w:pPr>
              <w:keepNext/>
              <w:keepLines/>
              <w:spacing w:before="340" w:after="330" w:line="578" w:lineRule="auto"/>
              <w:jc w:val="center"/>
              <w:rPr>
                <w:rFonts w:ascii="黑体" w:hAnsi="黑体" w:eastAsia="黑体" w:cs="黑体"/>
                <w:bCs/>
                <w:color w:val="auto"/>
                <w:sz w:val="24"/>
                <w:highlight w:val="none"/>
              </w:rPr>
            </w:pPr>
          </w:p>
        </w:tc>
        <w:tc>
          <w:tcPr>
            <w:tcW w:w="1197" w:type="dxa"/>
            <w:vAlign w:val="center"/>
          </w:tcPr>
          <w:p w14:paraId="2553BC89">
            <w:pPr>
              <w:keepNext/>
              <w:keepLines/>
              <w:spacing w:before="340" w:after="330" w:line="578" w:lineRule="auto"/>
              <w:jc w:val="center"/>
              <w:rPr>
                <w:rFonts w:ascii="黑体" w:hAnsi="黑体" w:eastAsia="黑体" w:cs="黑体"/>
                <w:bCs/>
                <w:color w:val="auto"/>
                <w:sz w:val="24"/>
                <w:highlight w:val="none"/>
              </w:rPr>
            </w:pPr>
          </w:p>
        </w:tc>
        <w:tc>
          <w:tcPr>
            <w:tcW w:w="2205" w:type="dxa"/>
            <w:vAlign w:val="center"/>
          </w:tcPr>
          <w:p w14:paraId="15BF4EAE">
            <w:pPr>
              <w:keepNext/>
              <w:keepLines/>
              <w:spacing w:before="340" w:after="330" w:line="578" w:lineRule="auto"/>
              <w:jc w:val="center"/>
              <w:rPr>
                <w:rFonts w:ascii="黑体" w:hAnsi="黑体" w:eastAsia="黑体" w:cs="黑体"/>
                <w:bCs/>
                <w:color w:val="auto"/>
                <w:sz w:val="24"/>
                <w:highlight w:val="none"/>
              </w:rPr>
            </w:pPr>
          </w:p>
        </w:tc>
        <w:tc>
          <w:tcPr>
            <w:tcW w:w="1134" w:type="dxa"/>
            <w:vAlign w:val="center"/>
          </w:tcPr>
          <w:p w14:paraId="388254E2">
            <w:pPr>
              <w:keepNext/>
              <w:keepLines/>
              <w:spacing w:before="340" w:after="330" w:line="578" w:lineRule="auto"/>
              <w:jc w:val="center"/>
              <w:rPr>
                <w:rFonts w:ascii="黑体" w:hAnsi="黑体" w:eastAsia="黑体" w:cs="黑体"/>
                <w:bCs/>
                <w:color w:val="auto"/>
                <w:sz w:val="24"/>
                <w:highlight w:val="none"/>
              </w:rPr>
            </w:pPr>
          </w:p>
        </w:tc>
      </w:tr>
      <w:tr w14:paraId="4168D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50" w:type="dxa"/>
            <w:vAlign w:val="center"/>
          </w:tcPr>
          <w:p w14:paraId="7636FB09">
            <w:pPr>
              <w:jc w:val="center"/>
              <w:rPr>
                <w:rFonts w:ascii="黑体" w:hAnsi="黑体" w:eastAsia="黑体" w:cs="黑体"/>
                <w:color w:val="auto"/>
                <w:sz w:val="24"/>
                <w:highlight w:val="none"/>
              </w:rPr>
            </w:pPr>
          </w:p>
        </w:tc>
        <w:tc>
          <w:tcPr>
            <w:tcW w:w="1417" w:type="dxa"/>
            <w:vAlign w:val="center"/>
          </w:tcPr>
          <w:p w14:paraId="05908F07">
            <w:pPr>
              <w:keepNext/>
              <w:keepLines/>
              <w:spacing w:before="340" w:after="330" w:line="578" w:lineRule="auto"/>
              <w:jc w:val="center"/>
              <w:rPr>
                <w:rFonts w:ascii="黑体" w:hAnsi="黑体" w:eastAsia="黑体" w:cs="黑体"/>
                <w:color w:val="auto"/>
                <w:sz w:val="24"/>
                <w:highlight w:val="none"/>
              </w:rPr>
            </w:pPr>
          </w:p>
        </w:tc>
        <w:tc>
          <w:tcPr>
            <w:tcW w:w="1134" w:type="dxa"/>
            <w:vAlign w:val="center"/>
          </w:tcPr>
          <w:p w14:paraId="4F0139E7">
            <w:pPr>
              <w:keepNext/>
              <w:keepLines/>
              <w:spacing w:before="340" w:after="330" w:line="578" w:lineRule="auto"/>
              <w:jc w:val="center"/>
              <w:rPr>
                <w:rFonts w:ascii="黑体" w:hAnsi="黑体" w:eastAsia="黑体" w:cs="黑体"/>
                <w:bCs/>
                <w:color w:val="auto"/>
                <w:sz w:val="24"/>
                <w:highlight w:val="none"/>
              </w:rPr>
            </w:pPr>
          </w:p>
        </w:tc>
        <w:tc>
          <w:tcPr>
            <w:tcW w:w="1197" w:type="dxa"/>
            <w:vAlign w:val="center"/>
          </w:tcPr>
          <w:p w14:paraId="125EF4F9">
            <w:pPr>
              <w:keepNext/>
              <w:keepLines/>
              <w:spacing w:before="340" w:after="330" w:line="578" w:lineRule="auto"/>
              <w:jc w:val="center"/>
              <w:rPr>
                <w:rFonts w:ascii="黑体" w:hAnsi="黑体" w:eastAsia="黑体" w:cs="黑体"/>
                <w:bCs/>
                <w:color w:val="auto"/>
                <w:sz w:val="24"/>
                <w:highlight w:val="none"/>
              </w:rPr>
            </w:pPr>
          </w:p>
        </w:tc>
        <w:tc>
          <w:tcPr>
            <w:tcW w:w="2205" w:type="dxa"/>
            <w:vAlign w:val="center"/>
          </w:tcPr>
          <w:p w14:paraId="29DAEC08">
            <w:pPr>
              <w:keepNext/>
              <w:keepLines/>
              <w:spacing w:before="340" w:after="330" w:line="578" w:lineRule="auto"/>
              <w:jc w:val="center"/>
              <w:rPr>
                <w:rFonts w:ascii="黑体" w:hAnsi="黑体" w:eastAsia="黑体" w:cs="黑体"/>
                <w:bCs/>
                <w:color w:val="auto"/>
                <w:sz w:val="24"/>
                <w:highlight w:val="none"/>
              </w:rPr>
            </w:pPr>
          </w:p>
        </w:tc>
        <w:tc>
          <w:tcPr>
            <w:tcW w:w="1134" w:type="dxa"/>
            <w:vAlign w:val="center"/>
          </w:tcPr>
          <w:p w14:paraId="23858C78">
            <w:pPr>
              <w:keepNext/>
              <w:keepLines/>
              <w:spacing w:before="340" w:after="330" w:line="578" w:lineRule="auto"/>
              <w:jc w:val="center"/>
              <w:rPr>
                <w:rFonts w:ascii="黑体" w:hAnsi="黑体" w:eastAsia="黑体" w:cs="黑体"/>
                <w:bCs/>
                <w:color w:val="auto"/>
                <w:sz w:val="24"/>
                <w:highlight w:val="none"/>
              </w:rPr>
            </w:pPr>
          </w:p>
        </w:tc>
      </w:tr>
      <w:tr w14:paraId="7AD02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50" w:type="dxa"/>
            <w:vAlign w:val="center"/>
          </w:tcPr>
          <w:p w14:paraId="4E96A9D4">
            <w:pPr>
              <w:jc w:val="center"/>
              <w:rPr>
                <w:rFonts w:ascii="黑体" w:hAnsi="黑体" w:eastAsia="黑体" w:cs="黑体"/>
                <w:color w:val="auto"/>
                <w:sz w:val="24"/>
                <w:highlight w:val="none"/>
              </w:rPr>
            </w:pPr>
            <w:r>
              <w:rPr>
                <w:rFonts w:hint="eastAsia" w:ascii="黑体" w:hAnsi="黑体" w:eastAsia="黑体" w:cs="黑体"/>
                <w:b/>
                <w:bCs/>
                <w:color w:val="auto"/>
                <w:sz w:val="24"/>
                <w:highlight w:val="none"/>
              </w:rPr>
              <w:t>...</w:t>
            </w:r>
          </w:p>
        </w:tc>
        <w:tc>
          <w:tcPr>
            <w:tcW w:w="1417" w:type="dxa"/>
            <w:vAlign w:val="center"/>
          </w:tcPr>
          <w:p w14:paraId="293E1D21">
            <w:pPr>
              <w:keepNext/>
              <w:keepLines/>
              <w:spacing w:before="340" w:after="330" w:line="578" w:lineRule="auto"/>
              <w:jc w:val="center"/>
              <w:rPr>
                <w:rFonts w:ascii="黑体" w:hAnsi="黑体" w:eastAsia="黑体" w:cs="黑体"/>
                <w:color w:val="auto"/>
                <w:sz w:val="24"/>
                <w:highlight w:val="none"/>
              </w:rPr>
            </w:pPr>
          </w:p>
        </w:tc>
        <w:tc>
          <w:tcPr>
            <w:tcW w:w="1134" w:type="dxa"/>
            <w:vAlign w:val="center"/>
          </w:tcPr>
          <w:p w14:paraId="1325DF86">
            <w:pPr>
              <w:keepNext/>
              <w:keepLines/>
              <w:spacing w:before="340" w:after="330" w:line="578" w:lineRule="auto"/>
              <w:jc w:val="center"/>
              <w:rPr>
                <w:rFonts w:ascii="黑体" w:hAnsi="黑体" w:eastAsia="黑体" w:cs="黑体"/>
                <w:bCs/>
                <w:color w:val="auto"/>
                <w:sz w:val="24"/>
                <w:highlight w:val="none"/>
              </w:rPr>
            </w:pPr>
          </w:p>
        </w:tc>
        <w:tc>
          <w:tcPr>
            <w:tcW w:w="1197" w:type="dxa"/>
            <w:vAlign w:val="center"/>
          </w:tcPr>
          <w:p w14:paraId="6535A9FE">
            <w:pPr>
              <w:keepNext/>
              <w:keepLines/>
              <w:spacing w:before="340" w:after="330" w:line="578" w:lineRule="auto"/>
              <w:jc w:val="center"/>
              <w:rPr>
                <w:rFonts w:ascii="黑体" w:hAnsi="黑体" w:eastAsia="黑体" w:cs="黑体"/>
                <w:bCs/>
                <w:color w:val="auto"/>
                <w:sz w:val="24"/>
                <w:highlight w:val="none"/>
              </w:rPr>
            </w:pPr>
          </w:p>
        </w:tc>
        <w:tc>
          <w:tcPr>
            <w:tcW w:w="2205" w:type="dxa"/>
            <w:vAlign w:val="center"/>
          </w:tcPr>
          <w:p w14:paraId="22EA8F88">
            <w:pPr>
              <w:keepNext/>
              <w:keepLines/>
              <w:spacing w:before="340" w:after="330" w:line="578" w:lineRule="auto"/>
              <w:jc w:val="center"/>
              <w:rPr>
                <w:rFonts w:ascii="黑体" w:hAnsi="黑体" w:eastAsia="黑体" w:cs="黑体"/>
                <w:bCs/>
                <w:color w:val="auto"/>
                <w:sz w:val="24"/>
                <w:highlight w:val="none"/>
              </w:rPr>
            </w:pPr>
          </w:p>
        </w:tc>
        <w:tc>
          <w:tcPr>
            <w:tcW w:w="1134" w:type="dxa"/>
            <w:vAlign w:val="center"/>
          </w:tcPr>
          <w:p w14:paraId="02E0A43B">
            <w:pPr>
              <w:keepNext/>
              <w:keepLines/>
              <w:spacing w:before="340" w:after="330" w:line="578" w:lineRule="auto"/>
              <w:jc w:val="center"/>
              <w:rPr>
                <w:rFonts w:ascii="黑体" w:hAnsi="黑体" w:eastAsia="黑体" w:cs="黑体"/>
                <w:bCs/>
                <w:color w:val="auto"/>
                <w:sz w:val="24"/>
                <w:highlight w:val="none"/>
              </w:rPr>
            </w:pPr>
          </w:p>
        </w:tc>
      </w:tr>
    </w:tbl>
    <w:p w14:paraId="0DE29D04">
      <w:pPr>
        <w:tabs>
          <w:tab w:val="left" w:pos="1418"/>
        </w:tabs>
        <w:spacing w:after="0" w:afterLines="-2147483648" w:line="360" w:lineRule="auto"/>
        <w:jc w:val="left"/>
        <w:rPr>
          <w:rFonts w:hint="eastAsia" w:ascii="宋体" w:hAnsi="宋体" w:eastAsia="黑体" w:cs="Times New Roman"/>
          <w:bCs/>
          <w:sz w:val="36"/>
          <w:szCs w:val="28"/>
          <w:highlight w:val="none"/>
          <w:lang w:eastAsia="zh-CN"/>
        </w:rPr>
      </w:pPr>
      <w:r>
        <w:rPr>
          <w:rFonts w:hint="eastAsia" w:ascii="仿宋" w:hAnsi="仿宋" w:eastAsia="仿宋" w:cs="仿宋"/>
          <w:b w:val="0"/>
          <w:bCs w:val="0"/>
          <w:color w:val="auto"/>
          <w:sz w:val="24"/>
          <w:szCs w:val="24"/>
          <w:highlight w:val="none"/>
        </w:rPr>
        <w:t>提供有效证书及社保部门出具的在投标人处购买的</w:t>
      </w:r>
      <w:r>
        <w:rPr>
          <w:rFonts w:hint="eastAsia" w:ascii="仿宋" w:hAnsi="仿宋" w:eastAsia="仿宋" w:cs="仿宋"/>
          <w:b w:val="0"/>
          <w:bCs w:val="0"/>
          <w:color w:val="auto"/>
          <w:sz w:val="24"/>
          <w:highlight w:val="none"/>
        </w:rPr>
        <w:t>近三个月</w:t>
      </w:r>
      <w:r>
        <w:rPr>
          <w:rFonts w:hint="eastAsia" w:ascii="仿宋" w:hAnsi="仿宋" w:eastAsia="仿宋" w:cs="仿宋"/>
          <w:b w:val="0"/>
          <w:bCs w:val="0"/>
          <w:color w:val="auto"/>
          <w:sz w:val="24"/>
          <w:szCs w:val="24"/>
          <w:highlight w:val="none"/>
        </w:rPr>
        <w:t>的社保证明复印件加盖投标人公章，原件备查</w:t>
      </w:r>
    </w:p>
    <w:p w14:paraId="54D20080">
      <w:pPr>
        <w:rPr>
          <w:rFonts w:hint="eastAsia" w:ascii="宋体" w:hAnsi="宋体" w:eastAsia="宋体" w:cs="宋体"/>
          <w:sz w:val="28"/>
          <w:szCs w:val="28"/>
          <w:highlight w:val="none"/>
        </w:rPr>
      </w:pPr>
      <w:r>
        <w:rPr>
          <w:rFonts w:hint="eastAsia" w:ascii="宋体" w:hAnsi="宋体" w:eastAsia="宋体" w:cs="宋体"/>
          <w:sz w:val="28"/>
          <w:szCs w:val="28"/>
          <w:highlight w:val="none"/>
        </w:rPr>
        <w:br w:type="page"/>
      </w:r>
    </w:p>
    <w:p w14:paraId="10D5AD2F">
      <w:pPr>
        <w:jc w:val="center"/>
        <w:rPr>
          <w:rFonts w:ascii="黑体" w:hAnsi="黑体" w:eastAsia="黑体" w:cs="黑体"/>
          <w:color w:val="auto"/>
          <w:sz w:val="28"/>
          <w:szCs w:val="28"/>
          <w:highlight w:val="none"/>
        </w:rPr>
      </w:pPr>
      <w:r>
        <w:rPr>
          <w:rFonts w:hint="eastAsia" w:ascii="宋体" w:hAnsi="宋体" w:eastAsia="黑体" w:cs="Times New Roman"/>
          <w:b w:val="0"/>
          <w:bCs/>
          <w:color w:val="auto"/>
          <w:sz w:val="36"/>
          <w:szCs w:val="28"/>
          <w:highlight w:val="none"/>
        </w:rPr>
        <w:t>拟投入专职安全员</w:t>
      </w:r>
      <w:r>
        <w:rPr>
          <w:rFonts w:hint="eastAsia" w:ascii="宋体" w:hAnsi="宋体" w:eastAsia="黑体"/>
          <w:b w:val="0"/>
          <w:bCs/>
          <w:color w:val="auto"/>
          <w:sz w:val="36"/>
          <w:szCs w:val="28"/>
          <w:highlight w:val="none"/>
          <w:lang w:val="en-US" w:eastAsia="zh-CN"/>
        </w:rPr>
        <w:t>情况表</w:t>
      </w:r>
    </w:p>
    <w:tbl>
      <w:tblPr>
        <w:tblStyle w:val="44"/>
        <w:tblW w:w="84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5"/>
        <w:gridCol w:w="1722"/>
        <w:gridCol w:w="3319"/>
        <w:gridCol w:w="1665"/>
      </w:tblGrid>
      <w:tr w14:paraId="03536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5" w:type="dxa"/>
            <w:tcBorders>
              <w:top w:val="single" w:color="auto" w:sz="8" w:space="0"/>
              <w:left w:val="single" w:color="auto" w:sz="8" w:space="0"/>
              <w:bottom w:val="single" w:color="auto" w:sz="8" w:space="0"/>
              <w:right w:val="single" w:color="auto" w:sz="8" w:space="0"/>
            </w:tcBorders>
            <w:vAlign w:val="center"/>
          </w:tcPr>
          <w:p w14:paraId="7FB9DBAF">
            <w:pPr>
              <w:autoSpaceDE w:val="0"/>
              <w:autoSpaceDN w:val="0"/>
              <w:adjustRightInd w:val="0"/>
              <w:spacing w:line="360" w:lineRule="auto"/>
              <w:jc w:val="center"/>
              <w:rPr>
                <w:rFonts w:ascii="黑体" w:hAnsi="黑体" w:eastAsia="黑体" w:cs="黑体"/>
                <w:color w:val="auto"/>
                <w:kern w:val="0"/>
                <w:sz w:val="24"/>
                <w:highlight w:val="none"/>
              </w:rPr>
            </w:pPr>
            <w:r>
              <w:rPr>
                <w:rFonts w:hint="eastAsia" w:ascii="黑体" w:hAnsi="黑体" w:eastAsia="黑体" w:cs="黑体"/>
                <w:color w:val="auto"/>
                <w:kern w:val="0"/>
                <w:sz w:val="24"/>
                <w:highlight w:val="none"/>
              </w:rPr>
              <w:t>序号</w:t>
            </w:r>
          </w:p>
        </w:tc>
        <w:tc>
          <w:tcPr>
            <w:tcW w:w="1722" w:type="dxa"/>
            <w:tcBorders>
              <w:top w:val="single" w:color="auto" w:sz="8" w:space="0"/>
              <w:left w:val="single" w:color="auto" w:sz="8" w:space="0"/>
              <w:bottom w:val="single" w:color="auto" w:sz="8" w:space="0"/>
              <w:right w:val="single" w:color="auto" w:sz="8" w:space="0"/>
            </w:tcBorders>
            <w:vAlign w:val="center"/>
          </w:tcPr>
          <w:p w14:paraId="08F44224">
            <w:pPr>
              <w:autoSpaceDE w:val="0"/>
              <w:autoSpaceDN w:val="0"/>
              <w:adjustRightInd w:val="0"/>
              <w:spacing w:line="360" w:lineRule="auto"/>
              <w:jc w:val="center"/>
              <w:rPr>
                <w:rFonts w:ascii="黑体" w:hAnsi="黑体" w:eastAsia="黑体" w:cs="黑体"/>
                <w:color w:val="auto"/>
                <w:kern w:val="0"/>
                <w:sz w:val="24"/>
                <w:highlight w:val="none"/>
              </w:rPr>
            </w:pPr>
            <w:r>
              <w:rPr>
                <w:rFonts w:hint="eastAsia" w:ascii="黑体" w:hAnsi="黑体" w:eastAsia="黑体" w:cs="黑体"/>
                <w:color w:val="auto"/>
                <w:kern w:val="0"/>
                <w:sz w:val="24"/>
                <w:highlight w:val="none"/>
              </w:rPr>
              <w:t>姓名</w:t>
            </w:r>
          </w:p>
        </w:tc>
        <w:tc>
          <w:tcPr>
            <w:tcW w:w="3319" w:type="dxa"/>
            <w:tcBorders>
              <w:top w:val="single" w:color="auto" w:sz="8" w:space="0"/>
              <w:left w:val="single" w:color="auto" w:sz="8" w:space="0"/>
              <w:bottom w:val="single" w:color="auto" w:sz="8" w:space="0"/>
              <w:right w:val="single" w:color="auto" w:sz="8" w:space="0"/>
            </w:tcBorders>
            <w:vAlign w:val="center"/>
          </w:tcPr>
          <w:p w14:paraId="18F10053">
            <w:pPr>
              <w:spacing w:line="360" w:lineRule="auto"/>
              <w:jc w:val="center"/>
              <w:rPr>
                <w:rFonts w:ascii="黑体" w:hAnsi="黑体" w:eastAsia="黑体" w:cs="黑体"/>
                <w:color w:val="auto"/>
                <w:sz w:val="24"/>
                <w:highlight w:val="none"/>
              </w:rPr>
            </w:pPr>
            <w:r>
              <w:rPr>
                <w:rFonts w:hint="eastAsia" w:ascii="黑体" w:hAnsi="黑体" w:eastAsia="黑体" w:cs="黑体"/>
                <w:color w:val="auto"/>
                <w:sz w:val="24"/>
                <w:highlight w:val="none"/>
              </w:rPr>
              <w:t>身份证号码</w:t>
            </w:r>
          </w:p>
        </w:tc>
        <w:tc>
          <w:tcPr>
            <w:tcW w:w="1665" w:type="dxa"/>
            <w:tcBorders>
              <w:top w:val="single" w:color="auto" w:sz="8" w:space="0"/>
              <w:left w:val="single" w:color="auto" w:sz="8" w:space="0"/>
              <w:bottom w:val="single" w:color="auto" w:sz="8" w:space="0"/>
              <w:right w:val="single" w:color="auto" w:sz="8" w:space="0"/>
            </w:tcBorders>
            <w:vAlign w:val="center"/>
          </w:tcPr>
          <w:p w14:paraId="2848CCFE">
            <w:pPr>
              <w:autoSpaceDE w:val="0"/>
              <w:autoSpaceDN w:val="0"/>
              <w:adjustRightInd w:val="0"/>
              <w:spacing w:line="360" w:lineRule="auto"/>
              <w:jc w:val="center"/>
              <w:rPr>
                <w:rFonts w:ascii="黑体" w:hAnsi="黑体" w:eastAsia="黑体" w:cs="黑体"/>
                <w:color w:val="auto"/>
                <w:kern w:val="0"/>
                <w:sz w:val="24"/>
                <w:highlight w:val="none"/>
              </w:rPr>
            </w:pPr>
            <w:r>
              <w:rPr>
                <w:rFonts w:hint="eastAsia" w:ascii="黑体" w:hAnsi="黑体" w:eastAsia="黑体" w:cs="黑体"/>
                <w:color w:val="auto"/>
                <w:kern w:val="0"/>
                <w:sz w:val="24"/>
                <w:highlight w:val="none"/>
              </w:rPr>
              <w:t>备注</w:t>
            </w:r>
          </w:p>
        </w:tc>
      </w:tr>
      <w:tr w14:paraId="41008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15" w:type="dxa"/>
            <w:tcBorders>
              <w:top w:val="single" w:color="auto" w:sz="8" w:space="0"/>
              <w:left w:val="single" w:color="auto" w:sz="8" w:space="0"/>
              <w:bottom w:val="single" w:color="auto" w:sz="8" w:space="0"/>
              <w:right w:val="single" w:color="auto" w:sz="8" w:space="0"/>
            </w:tcBorders>
            <w:vAlign w:val="center"/>
          </w:tcPr>
          <w:p w14:paraId="5F8858E3">
            <w:pPr>
              <w:autoSpaceDE w:val="0"/>
              <w:autoSpaceDN w:val="0"/>
              <w:adjustRightInd w:val="0"/>
              <w:spacing w:line="360" w:lineRule="auto"/>
              <w:jc w:val="center"/>
              <w:rPr>
                <w:rFonts w:ascii="黑体" w:hAnsi="黑体" w:eastAsia="黑体" w:cs="黑体"/>
                <w:color w:val="auto"/>
                <w:kern w:val="0"/>
                <w:sz w:val="24"/>
                <w:highlight w:val="none"/>
              </w:rPr>
            </w:pPr>
            <w:r>
              <w:rPr>
                <w:rFonts w:ascii="黑体" w:hAnsi="黑体" w:eastAsia="黑体" w:cs="黑体"/>
                <w:color w:val="auto"/>
                <w:kern w:val="0"/>
                <w:sz w:val="24"/>
                <w:highlight w:val="none"/>
              </w:rPr>
              <w:t>1</w:t>
            </w:r>
          </w:p>
        </w:tc>
        <w:tc>
          <w:tcPr>
            <w:tcW w:w="1722" w:type="dxa"/>
            <w:tcBorders>
              <w:top w:val="single" w:color="auto" w:sz="8" w:space="0"/>
              <w:left w:val="single" w:color="auto" w:sz="8" w:space="0"/>
              <w:bottom w:val="single" w:color="auto" w:sz="8" w:space="0"/>
              <w:right w:val="single" w:color="auto" w:sz="8" w:space="0"/>
            </w:tcBorders>
            <w:vAlign w:val="center"/>
          </w:tcPr>
          <w:p w14:paraId="035EFD3D">
            <w:pPr>
              <w:keepNext/>
              <w:keepLines/>
              <w:autoSpaceDE w:val="0"/>
              <w:autoSpaceDN w:val="0"/>
              <w:adjustRightInd w:val="0"/>
              <w:spacing w:before="340" w:after="330" w:line="360" w:lineRule="auto"/>
              <w:jc w:val="center"/>
              <w:rPr>
                <w:rFonts w:ascii="黑体" w:hAnsi="黑体" w:eastAsia="黑体" w:cs="黑体"/>
                <w:color w:val="auto"/>
                <w:kern w:val="0"/>
                <w:sz w:val="24"/>
                <w:highlight w:val="none"/>
              </w:rPr>
            </w:pPr>
          </w:p>
        </w:tc>
        <w:tc>
          <w:tcPr>
            <w:tcW w:w="3319" w:type="dxa"/>
            <w:tcBorders>
              <w:top w:val="single" w:color="auto" w:sz="8" w:space="0"/>
              <w:left w:val="single" w:color="auto" w:sz="8" w:space="0"/>
              <w:bottom w:val="single" w:color="auto" w:sz="8" w:space="0"/>
              <w:right w:val="single" w:color="auto" w:sz="8" w:space="0"/>
            </w:tcBorders>
            <w:vAlign w:val="center"/>
          </w:tcPr>
          <w:p w14:paraId="160315BB">
            <w:pPr>
              <w:keepNext/>
              <w:keepLines/>
              <w:snapToGrid w:val="0"/>
              <w:spacing w:before="340" w:after="330" w:line="360" w:lineRule="auto"/>
              <w:jc w:val="center"/>
              <w:rPr>
                <w:rFonts w:ascii="黑体" w:hAnsi="黑体" w:eastAsia="黑体" w:cs="黑体"/>
                <w:color w:val="auto"/>
                <w:sz w:val="24"/>
                <w:highlight w:val="none"/>
              </w:rPr>
            </w:pPr>
          </w:p>
        </w:tc>
        <w:tc>
          <w:tcPr>
            <w:tcW w:w="1665" w:type="dxa"/>
            <w:tcBorders>
              <w:top w:val="single" w:color="auto" w:sz="8" w:space="0"/>
              <w:left w:val="single" w:color="auto" w:sz="8" w:space="0"/>
              <w:bottom w:val="single" w:color="auto" w:sz="8" w:space="0"/>
              <w:right w:val="single" w:color="auto" w:sz="8" w:space="0"/>
            </w:tcBorders>
            <w:vAlign w:val="center"/>
          </w:tcPr>
          <w:p w14:paraId="1A6661EC">
            <w:pPr>
              <w:keepNext/>
              <w:keepLines/>
              <w:snapToGrid w:val="0"/>
              <w:spacing w:before="340" w:after="330" w:line="360" w:lineRule="auto"/>
              <w:jc w:val="center"/>
              <w:rPr>
                <w:rFonts w:ascii="黑体" w:hAnsi="黑体" w:eastAsia="黑体" w:cs="黑体"/>
                <w:color w:val="auto"/>
                <w:sz w:val="24"/>
                <w:highlight w:val="none"/>
              </w:rPr>
            </w:pPr>
          </w:p>
        </w:tc>
      </w:tr>
      <w:tr w14:paraId="1F077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15" w:type="dxa"/>
            <w:tcBorders>
              <w:top w:val="single" w:color="auto" w:sz="8" w:space="0"/>
              <w:left w:val="single" w:color="auto" w:sz="8" w:space="0"/>
              <w:bottom w:val="single" w:color="auto" w:sz="8" w:space="0"/>
              <w:right w:val="single" w:color="auto" w:sz="8" w:space="0"/>
            </w:tcBorders>
            <w:vAlign w:val="center"/>
          </w:tcPr>
          <w:p w14:paraId="51B9D64D">
            <w:pPr>
              <w:autoSpaceDE w:val="0"/>
              <w:autoSpaceDN w:val="0"/>
              <w:adjustRightInd w:val="0"/>
              <w:spacing w:line="360" w:lineRule="auto"/>
              <w:jc w:val="center"/>
              <w:rPr>
                <w:rFonts w:ascii="黑体" w:hAnsi="黑体" w:eastAsia="黑体" w:cs="黑体"/>
                <w:color w:val="auto"/>
                <w:kern w:val="0"/>
                <w:sz w:val="24"/>
                <w:highlight w:val="none"/>
              </w:rPr>
            </w:pPr>
            <w:r>
              <w:rPr>
                <w:rFonts w:ascii="黑体" w:hAnsi="黑体" w:eastAsia="黑体" w:cs="黑体"/>
                <w:color w:val="auto"/>
                <w:kern w:val="0"/>
                <w:sz w:val="24"/>
                <w:highlight w:val="none"/>
              </w:rPr>
              <w:t>2</w:t>
            </w:r>
          </w:p>
        </w:tc>
        <w:tc>
          <w:tcPr>
            <w:tcW w:w="1722" w:type="dxa"/>
            <w:tcBorders>
              <w:top w:val="single" w:color="auto" w:sz="8" w:space="0"/>
              <w:left w:val="single" w:color="auto" w:sz="8" w:space="0"/>
              <w:bottom w:val="single" w:color="auto" w:sz="8" w:space="0"/>
              <w:right w:val="single" w:color="auto" w:sz="8" w:space="0"/>
            </w:tcBorders>
            <w:vAlign w:val="center"/>
          </w:tcPr>
          <w:p w14:paraId="71B0218A">
            <w:pPr>
              <w:keepNext/>
              <w:keepLines/>
              <w:autoSpaceDE w:val="0"/>
              <w:autoSpaceDN w:val="0"/>
              <w:adjustRightInd w:val="0"/>
              <w:spacing w:before="340" w:after="330" w:line="360" w:lineRule="auto"/>
              <w:jc w:val="center"/>
              <w:rPr>
                <w:rFonts w:ascii="黑体" w:hAnsi="黑体" w:eastAsia="黑体" w:cs="黑体"/>
                <w:color w:val="auto"/>
                <w:kern w:val="0"/>
                <w:sz w:val="24"/>
                <w:highlight w:val="none"/>
              </w:rPr>
            </w:pPr>
          </w:p>
        </w:tc>
        <w:tc>
          <w:tcPr>
            <w:tcW w:w="3319" w:type="dxa"/>
            <w:tcBorders>
              <w:top w:val="single" w:color="auto" w:sz="8" w:space="0"/>
              <w:left w:val="single" w:color="auto" w:sz="8" w:space="0"/>
              <w:bottom w:val="single" w:color="auto" w:sz="8" w:space="0"/>
              <w:right w:val="single" w:color="auto" w:sz="8" w:space="0"/>
            </w:tcBorders>
            <w:vAlign w:val="center"/>
          </w:tcPr>
          <w:p w14:paraId="3237F05D">
            <w:pPr>
              <w:keepNext/>
              <w:keepLines/>
              <w:snapToGrid w:val="0"/>
              <w:spacing w:before="340" w:after="330" w:line="360" w:lineRule="auto"/>
              <w:jc w:val="center"/>
              <w:rPr>
                <w:rFonts w:ascii="黑体" w:hAnsi="黑体" w:eastAsia="黑体" w:cs="黑体"/>
                <w:color w:val="auto"/>
                <w:sz w:val="24"/>
                <w:highlight w:val="none"/>
              </w:rPr>
            </w:pPr>
          </w:p>
        </w:tc>
        <w:tc>
          <w:tcPr>
            <w:tcW w:w="1665" w:type="dxa"/>
            <w:tcBorders>
              <w:top w:val="single" w:color="auto" w:sz="8" w:space="0"/>
              <w:left w:val="single" w:color="auto" w:sz="8" w:space="0"/>
              <w:bottom w:val="single" w:color="auto" w:sz="8" w:space="0"/>
              <w:right w:val="single" w:color="auto" w:sz="8" w:space="0"/>
            </w:tcBorders>
            <w:vAlign w:val="center"/>
          </w:tcPr>
          <w:p w14:paraId="5B3C4D1C">
            <w:pPr>
              <w:keepNext/>
              <w:keepLines/>
              <w:snapToGrid w:val="0"/>
              <w:spacing w:before="340" w:after="330" w:line="360" w:lineRule="auto"/>
              <w:jc w:val="center"/>
              <w:rPr>
                <w:rFonts w:ascii="黑体" w:hAnsi="黑体" w:eastAsia="黑体" w:cs="黑体"/>
                <w:color w:val="auto"/>
                <w:sz w:val="24"/>
                <w:highlight w:val="none"/>
              </w:rPr>
            </w:pPr>
          </w:p>
        </w:tc>
      </w:tr>
      <w:tr w14:paraId="526D2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15" w:type="dxa"/>
            <w:tcBorders>
              <w:top w:val="single" w:color="auto" w:sz="8" w:space="0"/>
              <w:left w:val="single" w:color="auto" w:sz="8" w:space="0"/>
              <w:bottom w:val="single" w:color="auto" w:sz="8" w:space="0"/>
              <w:right w:val="single" w:color="auto" w:sz="8" w:space="0"/>
            </w:tcBorders>
            <w:vAlign w:val="center"/>
          </w:tcPr>
          <w:p w14:paraId="47B97703">
            <w:pPr>
              <w:autoSpaceDE w:val="0"/>
              <w:autoSpaceDN w:val="0"/>
              <w:adjustRightInd w:val="0"/>
              <w:spacing w:line="360" w:lineRule="auto"/>
              <w:jc w:val="center"/>
              <w:rPr>
                <w:rFonts w:ascii="黑体" w:hAnsi="黑体" w:eastAsia="黑体" w:cs="黑体"/>
                <w:color w:val="auto"/>
                <w:kern w:val="0"/>
                <w:sz w:val="24"/>
                <w:highlight w:val="none"/>
              </w:rPr>
            </w:pPr>
            <w:r>
              <w:rPr>
                <w:rFonts w:ascii="黑体" w:hAnsi="黑体" w:eastAsia="黑体" w:cs="黑体"/>
                <w:color w:val="auto"/>
                <w:kern w:val="0"/>
                <w:sz w:val="24"/>
                <w:highlight w:val="none"/>
              </w:rPr>
              <w:t>3</w:t>
            </w:r>
          </w:p>
        </w:tc>
        <w:tc>
          <w:tcPr>
            <w:tcW w:w="1722" w:type="dxa"/>
            <w:tcBorders>
              <w:top w:val="single" w:color="auto" w:sz="8" w:space="0"/>
              <w:left w:val="single" w:color="auto" w:sz="8" w:space="0"/>
              <w:bottom w:val="single" w:color="auto" w:sz="8" w:space="0"/>
              <w:right w:val="single" w:color="auto" w:sz="8" w:space="0"/>
            </w:tcBorders>
            <w:vAlign w:val="center"/>
          </w:tcPr>
          <w:p w14:paraId="717A30BF">
            <w:pPr>
              <w:keepNext/>
              <w:keepLines/>
              <w:autoSpaceDE w:val="0"/>
              <w:autoSpaceDN w:val="0"/>
              <w:adjustRightInd w:val="0"/>
              <w:spacing w:before="340" w:after="330" w:line="360" w:lineRule="auto"/>
              <w:jc w:val="center"/>
              <w:rPr>
                <w:rFonts w:ascii="黑体" w:hAnsi="黑体" w:eastAsia="黑体" w:cs="黑体"/>
                <w:color w:val="auto"/>
                <w:kern w:val="0"/>
                <w:sz w:val="24"/>
                <w:highlight w:val="none"/>
              </w:rPr>
            </w:pPr>
          </w:p>
        </w:tc>
        <w:tc>
          <w:tcPr>
            <w:tcW w:w="3319" w:type="dxa"/>
            <w:tcBorders>
              <w:top w:val="single" w:color="auto" w:sz="8" w:space="0"/>
              <w:left w:val="single" w:color="auto" w:sz="8" w:space="0"/>
              <w:bottom w:val="single" w:color="auto" w:sz="8" w:space="0"/>
              <w:right w:val="single" w:color="auto" w:sz="8" w:space="0"/>
            </w:tcBorders>
            <w:vAlign w:val="center"/>
          </w:tcPr>
          <w:p w14:paraId="527555BB">
            <w:pPr>
              <w:keepNext/>
              <w:keepLines/>
              <w:snapToGrid w:val="0"/>
              <w:spacing w:before="340" w:after="330" w:line="360" w:lineRule="auto"/>
              <w:jc w:val="center"/>
              <w:rPr>
                <w:rFonts w:ascii="黑体" w:hAnsi="黑体" w:eastAsia="黑体" w:cs="黑体"/>
                <w:color w:val="auto"/>
                <w:sz w:val="24"/>
                <w:highlight w:val="none"/>
              </w:rPr>
            </w:pPr>
          </w:p>
        </w:tc>
        <w:tc>
          <w:tcPr>
            <w:tcW w:w="1665" w:type="dxa"/>
            <w:tcBorders>
              <w:top w:val="single" w:color="auto" w:sz="8" w:space="0"/>
              <w:left w:val="single" w:color="auto" w:sz="8" w:space="0"/>
              <w:bottom w:val="single" w:color="auto" w:sz="8" w:space="0"/>
              <w:right w:val="single" w:color="auto" w:sz="8" w:space="0"/>
            </w:tcBorders>
            <w:vAlign w:val="center"/>
          </w:tcPr>
          <w:p w14:paraId="26A7C73F">
            <w:pPr>
              <w:keepNext/>
              <w:keepLines/>
              <w:snapToGrid w:val="0"/>
              <w:spacing w:before="340" w:after="330" w:line="360" w:lineRule="auto"/>
              <w:jc w:val="center"/>
              <w:rPr>
                <w:rFonts w:ascii="黑体" w:hAnsi="黑体" w:eastAsia="黑体" w:cs="黑体"/>
                <w:color w:val="auto"/>
                <w:sz w:val="24"/>
                <w:highlight w:val="none"/>
              </w:rPr>
            </w:pPr>
          </w:p>
        </w:tc>
      </w:tr>
      <w:tr w14:paraId="180F5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15" w:type="dxa"/>
            <w:tcBorders>
              <w:top w:val="single" w:color="auto" w:sz="8" w:space="0"/>
              <w:left w:val="single" w:color="auto" w:sz="8" w:space="0"/>
              <w:bottom w:val="single" w:color="auto" w:sz="8" w:space="0"/>
              <w:right w:val="single" w:color="auto" w:sz="8" w:space="0"/>
            </w:tcBorders>
            <w:vAlign w:val="center"/>
          </w:tcPr>
          <w:p w14:paraId="418D8B2E">
            <w:pPr>
              <w:autoSpaceDE w:val="0"/>
              <w:autoSpaceDN w:val="0"/>
              <w:adjustRightInd w:val="0"/>
              <w:spacing w:line="360" w:lineRule="auto"/>
              <w:jc w:val="center"/>
              <w:rPr>
                <w:rFonts w:ascii="黑体" w:hAnsi="黑体" w:eastAsia="黑体" w:cs="黑体"/>
                <w:color w:val="auto"/>
                <w:kern w:val="0"/>
                <w:sz w:val="24"/>
                <w:highlight w:val="none"/>
              </w:rPr>
            </w:pPr>
            <w:r>
              <w:rPr>
                <w:rFonts w:ascii="黑体" w:hAnsi="黑体" w:eastAsia="黑体" w:cs="黑体"/>
                <w:color w:val="auto"/>
                <w:kern w:val="0"/>
                <w:sz w:val="24"/>
                <w:highlight w:val="none"/>
              </w:rPr>
              <w:t>4</w:t>
            </w:r>
          </w:p>
        </w:tc>
        <w:tc>
          <w:tcPr>
            <w:tcW w:w="1722" w:type="dxa"/>
            <w:tcBorders>
              <w:top w:val="single" w:color="auto" w:sz="8" w:space="0"/>
              <w:left w:val="single" w:color="auto" w:sz="8" w:space="0"/>
              <w:bottom w:val="single" w:color="auto" w:sz="8" w:space="0"/>
              <w:right w:val="single" w:color="auto" w:sz="8" w:space="0"/>
            </w:tcBorders>
            <w:vAlign w:val="center"/>
          </w:tcPr>
          <w:p w14:paraId="7BC12F41">
            <w:pPr>
              <w:keepNext/>
              <w:keepLines/>
              <w:autoSpaceDE w:val="0"/>
              <w:autoSpaceDN w:val="0"/>
              <w:adjustRightInd w:val="0"/>
              <w:spacing w:before="340" w:after="330" w:line="360" w:lineRule="auto"/>
              <w:jc w:val="center"/>
              <w:rPr>
                <w:rFonts w:ascii="黑体" w:hAnsi="黑体" w:eastAsia="黑体" w:cs="黑体"/>
                <w:color w:val="auto"/>
                <w:kern w:val="0"/>
                <w:sz w:val="24"/>
                <w:highlight w:val="none"/>
              </w:rPr>
            </w:pPr>
          </w:p>
        </w:tc>
        <w:tc>
          <w:tcPr>
            <w:tcW w:w="3319" w:type="dxa"/>
            <w:tcBorders>
              <w:top w:val="single" w:color="auto" w:sz="8" w:space="0"/>
              <w:left w:val="single" w:color="auto" w:sz="8" w:space="0"/>
              <w:bottom w:val="single" w:color="auto" w:sz="8" w:space="0"/>
              <w:right w:val="single" w:color="auto" w:sz="8" w:space="0"/>
            </w:tcBorders>
            <w:vAlign w:val="center"/>
          </w:tcPr>
          <w:p w14:paraId="0A2EB721">
            <w:pPr>
              <w:keepNext/>
              <w:keepLines/>
              <w:snapToGrid w:val="0"/>
              <w:spacing w:before="340" w:after="330" w:line="360" w:lineRule="auto"/>
              <w:jc w:val="center"/>
              <w:rPr>
                <w:rFonts w:ascii="黑体" w:hAnsi="黑体" w:eastAsia="黑体" w:cs="黑体"/>
                <w:color w:val="auto"/>
                <w:sz w:val="24"/>
                <w:highlight w:val="none"/>
              </w:rPr>
            </w:pPr>
          </w:p>
        </w:tc>
        <w:tc>
          <w:tcPr>
            <w:tcW w:w="1665" w:type="dxa"/>
            <w:tcBorders>
              <w:top w:val="single" w:color="auto" w:sz="8" w:space="0"/>
              <w:left w:val="single" w:color="auto" w:sz="8" w:space="0"/>
              <w:bottom w:val="single" w:color="auto" w:sz="8" w:space="0"/>
              <w:right w:val="single" w:color="auto" w:sz="8" w:space="0"/>
            </w:tcBorders>
            <w:vAlign w:val="center"/>
          </w:tcPr>
          <w:p w14:paraId="1A9EB873">
            <w:pPr>
              <w:keepNext/>
              <w:keepLines/>
              <w:snapToGrid w:val="0"/>
              <w:spacing w:before="340" w:after="330" w:line="360" w:lineRule="auto"/>
              <w:jc w:val="center"/>
              <w:rPr>
                <w:rFonts w:ascii="黑体" w:hAnsi="黑体" w:eastAsia="黑体" w:cs="黑体"/>
                <w:color w:val="auto"/>
                <w:sz w:val="24"/>
                <w:highlight w:val="none"/>
              </w:rPr>
            </w:pPr>
          </w:p>
        </w:tc>
      </w:tr>
      <w:tr w14:paraId="47BC5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15" w:type="dxa"/>
            <w:tcBorders>
              <w:top w:val="single" w:color="auto" w:sz="8" w:space="0"/>
              <w:left w:val="single" w:color="auto" w:sz="8" w:space="0"/>
              <w:bottom w:val="single" w:color="auto" w:sz="8" w:space="0"/>
              <w:right w:val="single" w:color="auto" w:sz="8" w:space="0"/>
            </w:tcBorders>
            <w:vAlign w:val="center"/>
          </w:tcPr>
          <w:p w14:paraId="4C83FAEC">
            <w:pPr>
              <w:autoSpaceDE w:val="0"/>
              <w:autoSpaceDN w:val="0"/>
              <w:adjustRightInd w:val="0"/>
              <w:spacing w:line="360" w:lineRule="auto"/>
              <w:jc w:val="center"/>
              <w:rPr>
                <w:rFonts w:ascii="黑体" w:hAnsi="黑体" w:eastAsia="黑体" w:cs="黑体"/>
                <w:color w:val="auto"/>
                <w:kern w:val="0"/>
                <w:sz w:val="24"/>
                <w:highlight w:val="none"/>
              </w:rPr>
            </w:pPr>
            <w:r>
              <w:rPr>
                <w:rFonts w:ascii="黑体" w:hAnsi="黑体" w:eastAsia="黑体" w:cs="黑体"/>
                <w:color w:val="auto"/>
                <w:kern w:val="0"/>
                <w:sz w:val="24"/>
                <w:highlight w:val="none"/>
              </w:rPr>
              <w:t>5</w:t>
            </w:r>
          </w:p>
        </w:tc>
        <w:tc>
          <w:tcPr>
            <w:tcW w:w="1722" w:type="dxa"/>
            <w:tcBorders>
              <w:top w:val="single" w:color="auto" w:sz="8" w:space="0"/>
              <w:left w:val="single" w:color="auto" w:sz="8" w:space="0"/>
              <w:bottom w:val="single" w:color="auto" w:sz="8" w:space="0"/>
              <w:right w:val="single" w:color="auto" w:sz="8" w:space="0"/>
            </w:tcBorders>
            <w:vAlign w:val="center"/>
          </w:tcPr>
          <w:p w14:paraId="283BD596">
            <w:pPr>
              <w:keepNext/>
              <w:keepLines/>
              <w:autoSpaceDE w:val="0"/>
              <w:autoSpaceDN w:val="0"/>
              <w:adjustRightInd w:val="0"/>
              <w:spacing w:before="340" w:after="330" w:line="360" w:lineRule="auto"/>
              <w:jc w:val="center"/>
              <w:rPr>
                <w:rFonts w:ascii="黑体" w:hAnsi="黑体" w:eastAsia="黑体" w:cs="黑体"/>
                <w:color w:val="auto"/>
                <w:kern w:val="0"/>
                <w:sz w:val="24"/>
                <w:highlight w:val="none"/>
              </w:rPr>
            </w:pPr>
          </w:p>
        </w:tc>
        <w:tc>
          <w:tcPr>
            <w:tcW w:w="3319" w:type="dxa"/>
            <w:tcBorders>
              <w:top w:val="single" w:color="auto" w:sz="8" w:space="0"/>
              <w:left w:val="single" w:color="auto" w:sz="8" w:space="0"/>
              <w:bottom w:val="single" w:color="auto" w:sz="8" w:space="0"/>
              <w:right w:val="single" w:color="auto" w:sz="8" w:space="0"/>
            </w:tcBorders>
            <w:vAlign w:val="center"/>
          </w:tcPr>
          <w:p w14:paraId="59F1BAE0">
            <w:pPr>
              <w:keepNext/>
              <w:keepLines/>
              <w:snapToGrid w:val="0"/>
              <w:spacing w:before="340" w:after="330" w:line="360" w:lineRule="auto"/>
              <w:jc w:val="center"/>
              <w:rPr>
                <w:rFonts w:ascii="黑体" w:hAnsi="黑体" w:eastAsia="黑体" w:cs="黑体"/>
                <w:color w:val="auto"/>
                <w:sz w:val="24"/>
                <w:highlight w:val="none"/>
              </w:rPr>
            </w:pPr>
          </w:p>
        </w:tc>
        <w:tc>
          <w:tcPr>
            <w:tcW w:w="1665" w:type="dxa"/>
            <w:tcBorders>
              <w:top w:val="single" w:color="auto" w:sz="8" w:space="0"/>
              <w:left w:val="single" w:color="auto" w:sz="8" w:space="0"/>
              <w:bottom w:val="single" w:color="auto" w:sz="8" w:space="0"/>
              <w:right w:val="single" w:color="auto" w:sz="8" w:space="0"/>
            </w:tcBorders>
            <w:vAlign w:val="center"/>
          </w:tcPr>
          <w:p w14:paraId="0AB389C3">
            <w:pPr>
              <w:keepNext/>
              <w:keepLines/>
              <w:snapToGrid w:val="0"/>
              <w:spacing w:before="340" w:after="330" w:line="360" w:lineRule="auto"/>
              <w:jc w:val="center"/>
              <w:rPr>
                <w:rFonts w:ascii="黑体" w:hAnsi="黑体" w:eastAsia="黑体" w:cs="黑体"/>
                <w:color w:val="auto"/>
                <w:sz w:val="24"/>
                <w:highlight w:val="none"/>
              </w:rPr>
            </w:pPr>
          </w:p>
        </w:tc>
      </w:tr>
      <w:tr w14:paraId="05F2A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15" w:type="dxa"/>
            <w:tcBorders>
              <w:top w:val="single" w:color="auto" w:sz="8" w:space="0"/>
              <w:left w:val="single" w:color="auto" w:sz="8" w:space="0"/>
              <w:bottom w:val="single" w:color="auto" w:sz="8" w:space="0"/>
              <w:right w:val="single" w:color="auto" w:sz="8" w:space="0"/>
            </w:tcBorders>
            <w:vAlign w:val="center"/>
          </w:tcPr>
          <w:p w14:paraId="60950EF1">
            <w:pPr>
              <w:autoSpaceDE w:val="0"/>
              <w:autoSpaceDN w:val="0"/>
              <w:adjustRightInd w:val="0"/>
              <w:spacing w:line="360" w:lineRule="auto"/>
              <w:jc w:val="center"/>
              <w:rPr>
                <w:rFonts w:ascii="黑体" w:hAnsi="黑体" w:eastAsia="黑体" w:cs="黑体"/>
                <w:color w:val="auto"/>
                <w:kern w:val="0"/>
                <w:sz w:val="24"/>
                <w:highlight w:val="none"/>
              </w:rPr>
            </w:pPr>
            <w:r>
              <w:rPr>
                <w:rFonts w:ascii="黑体" w:hAnsi="黑体" w:eastAsia="黑体" w:cs="黑体"/>
                <w:color w:val="auto"/>
                <w:kern w:val="0"/>
                <w:sz w:val="24"/>
                <w:highlight w:val="none"/>
              </w:rPr>
              <w:t>…</w:t>
            </w:r>
          </w:p>
        </w:tc>
        <w:tc>
          <w:tcPr>
            <w:tcW w:w="1722" w:type="dxa"/>
            <w:tcBorders>
              <w:top w:val="single" w:color="auto" w:sz="8" w:space="0"/>
              <w:left w:val="single" w:color="auto" w:sz="8" w:space="0"/>
              <w:bottom w:val="single" w:color="auto" w:sz="8" w:space="0"/>
              <w:right w:val="single" w:color="auto" w:sz="8" w:space="0"/>
            </w:tcBorders>
            <w:vAlign w:val="center"/>
          </w:tcPr>
          <w:p w14:paraId="0CAB7755">
            <w:pPr>
              <w:keepNext/>
              <w:keepLines/>
              <w:autoSpaceDE w:val="0"/>
              <w:autoSpaceDN w:val="0"/>
              <w:adjustRightInd w:val="0"/>
              <w:spacing w:before="340" w:after="330" w:line="360" w:lineRule="auto"/>
              <w:jc w:val="center"/>
              <w:rPr>
                <w:rFonts w:ascii="黑体" w:hAnsi="黑体" w:eastAsia="黑体" w:cs="黑体"/>
                <w:color w:val="auto"/>
                <w:kern w:val="0"/>
                <w:sz w:val="24"/>
                <w:highlight w:val="none"/>
              </w:rPr>
            </w:pPr>
          </w:p>
        </w:tc>
        <w:tc>
          <w:tcPr>
            <w:tcW w:w="3319" w:type="dxa"/>
            <w:tcBorders>
              <w:top w:val="single" w:color="auto" w:sz="8" w:space="0"/>
              <w:left w:val="single" w:color="auto" w:sz="8" w:space="0"/>
              <w:bottom w:val="single" w:color="auto" w:sz="8" w:space="0"/>
              <w:right w:val="single" w:color="auto" w:sz="8" w:space="0"/>
            </w:tcBorders>
            <w:vAlign w:val="center"/>
          </w:tcPr>
          <w:p w14:paraId="5362A63A">
            <w:pPr>
              <w:keepNext/>
              <w:keepLines/>
              <w:snapToGrid w:val="0"/>
              <w:spacing w:before="340" w:after="330" w:line="360" w:lineRule="auto"/>
              <w:jc w:val="center"/>
              <w:rPr>
                <w:rFonts w:ascii="黑体" w:hAnsi="黑体" w:eastAsia="黑体" w:cs="黑体"/>
                <w:color w:val="auto"/>
                <w:sz w:val="24"/>
                <w:highlight w:val="none"/>
              </w:rPr>
            </w:pPr>
          </w:p>
        </w:tc>
        <w:tc>
          <w:tcPr>
            <w:tcW w:w="1665" w:type="dxa"/>
            <w:tcBorders>
              <w:top w:val="single" w:color="auto" w:sz="8" w:space="0"/>
              <w:left w:val="single" w:color="auto" w:sz="8" w:space="0"/>
              <w:bottom w:val="single" w:color="auto" w:sz="8" w:space="0"/>
              <w:right w:val="single" w:color="auto" w:sz="8" w:space="0"/>
            </w:tcBorders>
            <w:vAlign w:val="center"/>
          </w:tcPr>
          <w:p w14:paraId="3332C658">
            <w:pPr>
              <w:keepNext/>
              <w:keepLines/>
              <w:snapToGrid w:val="0"/>
              <w:spacing w:before="340" w:after="330" w:line="360" w:lineRule="auto"/>
              <w:jc w:val="center"/>
              <w:rPr>
                <w:rFonts w:ascii="黑体" w:hAnsi="黑体" w:eastAsia="黑体" w:cs="黑体"/>
                <w:color w:val="auto"/>
                <w:sz w:val="24"/>
                <w:highlight w:val="none"/>
              </w:rPr>
            </w:pPr>
          </w:p>
        </w:tc>
      </w:tr>
      <w:tr w14:paraId="3898A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15" w:type="dxa"/>
            <w:tcBorders>
              <w:top w:val="single" w:color="auto" w:sz="8" w:space="0"/>
              <w:left w:val="single" w:color="auto" w:sz="8" w:space="0"/>
              <w:bottom w:val="single" w:color="auto" w:sz="8" w:space="0"/>
              <w:right w:val="single" w:color="auto" w:sz="8" w:space="0"/>
            </w:tcBorders>
            <w:vAlign w:val="center"/>
          </w:tcPr>
          <w:p w14:paraId="69D48652">
            <w:pPr>
              <w:keepNext w:val="0"/>
              <w:keepLines w:val="0"/>
              <w:autoSpaceDE/>
              <w:autoSpaceDN/>
              <w:adjustRightInd/>
              <w:spacing w:before="0" w:after="0" w:line="240" w:lineRule="auto"/>
              <w:jc w:val="left"/>
              <w:rPr>
                <w:rFonts w:hint="eastAsia" w:ascii="仿宋" w:hAnsi="仿宋" w:eastAsia="仿宋" w:cs="仿宋"/>
                <w:color w:val="auto"/>
                <w:kern w:val="2"/>
                <w:sz w:val="24"/>
                <w:highlight w:val="none"/>
              </w:rPr>
            </w:pPr>
          </w:p>
        </w:tc>
        <w:tc>
          <w:tcPr>
            <w:tcW w:w="1722" w:type="dxa"/>
            <w:tcBorders>
              <w:top w:val="single" w:color="auto" w:sz="8" w:space="0"/>
              <w:left w:val="single" w:color="auto" w:sz="8" w:space="0"/>
              <w:bottom w:val="single" w:color="auto" w:sz="8" w:space="0"/>
              <w:right w:val="single" w:color="auto" w:sz="8" w:space="0"/>
            </w:tcBorders>
            <w:vAlign w:val="center"/>
          </w:tcPr>
          <w:p w14:paraId="0B210E03">
            <w:pPr>
              <w:keepNext w:val="0"/>
              <w:keepLines w:val="0"/>
              <w:autoSpaceDE/>
              <w:autoSpaceDN/>
              <w:adjustRightInd/>
              <w:spacing w:before="0" w:after="0" w:line="240" w:lineRule="auto"/>
              <w:jc w:val="left"/>
              <w:rPr>
                <w:rFonts w:hint="eastAsia" w:ascii="仿宋" w:hAnsi="仿宋" w:eastAsia="仿宋" w:cs="仿宋"/>
                <w:color w:val="auto"/>
                <w:kern w:val="2"/>
                <w:sz w:val="24"/>
                <w:highlight w:val="none"/>
              </w:rPr>
            </w:pPr>
          </w:p>
        </w:tc>
        <w:tc>
          <w:tcPr>
            <w:tcW w:w="3319" w:type="dxa"/>
            <w:tcBorders>
              <w:top w:val="single" w:color="auto" w:sz="8" w:space="0"/>
              <w:left w:val="single" w:color="auto" w:sz="8" w:space="0"/>
              <w:bottom w:val="single" w:color="auto" w:sz="8" w:space="0"/>
              <w:right w:val="single" w:color="auto" w:sz="8" w:space="0"/>
            </w:tcBorders>
            <w:vAlign w:val="center"/>
          </w:tcPr>
          <w:p w14:paraId="0425DB13">
            <w:pPr>
              <w:keepNext w:val="0"/>
              <w:keepLines w:val="0"/>
              <w:snapToGrid/>
              <w:spacing w:before="0" w:after="0" w:line="240" w:lineRule="auto"/>
              <w:jc w:val="left"/>
              <w:rPr>
                <w:rFonts w:hint="eastAsia" w:ascii="仿宋" w:hAnsi="仿宋" w:eastAsia="仿宋" w:cs="仿宋"/>
                <w:color w:val="auto"/>
                <w:sz w:val="24"/>
                <w:highlight w:val="none"/>
              </w:rPr>
            </w:pPr>
          </w:p>
        </w:tc>
        <w:tc>
          <w:tcPr>
            <w:tcW w:w="1665" w:type="dxa"/>
            <w:tcBorders>
              <w:top w:val="single" w:color="auto" w:sz="8" w:space="0"/>
              <w:left w:val="single" w:color="auto" w:sz="8" w:space="0"/>
              <w:bottom w:val="single" w:color="auto" w:sz="8" w:space="0"/>
              <w:right w:val="single" w:color="auto" w:sz="8" w:space="0"/>
            </w:tcBorders>
            <w:vAlign w:val="center"/>
          </w:tcPr>
          <w:p w14:paraId="74FA8040">
            <w:pPr>
              <w:keepNext w:val="0"/>
              <w:keepLines w:val="0"/>
              <w:snapToGrid/>
              <w:spacing w:before="0" w:after="0" w:line="240" w:lineRule="auto"/>
              <w:jc w:val="left"/>
              <w:rPr>
                <w:rFonts w:hint="eastAsia" w:ascii="仿宋" w:hAnsi="仿宋" w:eastAsia="仿宋" w:cs="仿宋"/>
                <w:color w:val="auto"/>
                <w:sz w:val="24"/>
                <w:highlight w:val="none"/>
              </w:rPr>
            </w:pPr>
          </w:p>
        </w:tc>
      </w:tr>
    </w:tbl>
    <w:p w14:paraId="14BA106D">
      <w:pPr>
        <w:rPr>
          <w:rFonts w:ascii="宋体" w:hAnsi="宋体" w:cs="宋体"/>
          <w:sz w:val="18"/>
          <w:szCs w:val="18"/>
          <w:highlight w:val="none"/>
        </w:rPr>
      </w:pPr>
      <w:r>
        <w:rPr>
          <w:rFonts w:hint="eastAsia" w:ascii="仿宋" w:hAnsi="仿宋" w:eastAsia="仿宋" w:cs="仿宋"/>
          <w:b w:val="0"/>
          <w:bCs w:val="0"/>
          <w:color w:val="auto"/>
          <w:sz w:val="24"/>
          <w:szCs w:val="24"/>
          <w:highlight w:val="none"/>
        </w:rPr>
        <w:t>提供有效证书及社保部门出具的在投标人处购买的</w:t>
      </w:r>
      <w:r>
        <w:rPr>
          <w:rFonts w:hint="eastAsia" w:ascii="仿宋" w:hAnsi="仿宋" w:eastAsia="仿宋" w:cs="仿宋"/>
          <w:b w:val="0"/>
          <w:color w:val="auto"/>
          <w:sz w:val="24"/>
          <w:highlight w:val="none"/>
        </w:rPr>
        <w:t>近三个月</w:t>
      </w:r>
      <w:r>
        <w:rPr>
          <w:rFonts w:hint="eastAsia" w:ascii="仿宋" w:hAnsi="仿宋" w:eastAsia="仿宋" w:cs="仿宋"/>
          <w:b w:val="0"/>
          <w:bCs w:val="0"/>
          <w:color w:val="auto"/>
          <w:sz w:val="24"/>
          <w:szCs w:val="24"/>
          <w:highlight w:val="none"/>
        </w:rPr>
        <w:t>的社保证明复印件加盖投标人公章，原件备查</w:t>
      </w:r>
    </w:p>
    <w:p w14:paraId="7A00D135">
      <w:pPr>
        <w:rPr>
          <w:rFonts w:hint="default" w:ascii="宋体" w:hAnsi="宋体" w:eastAsia="宋体" w:cs="宋体"/>
          <w:sz w:val="28"/>
          <w:szCs w:val="28"/>
          <w:highlight w:val="none"/>
          <w:lang w:val="en-US"/>
        </w:rPr>
      </w:pPr>
      <w:r>
        <w:rPr>
          <w:rFonts w:hint="default" w:ascii="宋体" w:hAnsi="宋体" w:eastAsia="宋体" w:cs="宋体"/>
          <w:sz w:val="28"/>
          <w:szCs w:val="28"/>
          <w:highlight w:val="none"/>
          <w:lang w:val="en-US"/>
        </w:rPr>
        <w:br w:type="page"/>
      </w:r>
    </w:p>
    <w:p w14:paraId="56CEF9D8">
      <w:pPr>
        <w:pStyle w:val="43"/>
        <w:ind w:left="0" w:leftChars="0" w:firstLine="0" w:firstLineChars="0"/>
        <w:jc w:val="center"/>
        <w:outlineLvl w:val="3"/>
        <w:rPr>
          <w:rFonts w:hint="eastAsia" w:ascii="宋体" w:hAnsi="宋体" w:eastAsia="黑体" w:cs="Times New Roman"/>
          <w:b w:val="0"/>
          <w:bCs/>
          <w:color w:val="auto"/>
          <w:kern w:val="2"/>
          <w:sz w:val="36"/>
          <w:szCs w:val="28"/>
          <w:highlight w:val="none"/>
          <w:lang w:val="en-US" w:eastAsia="zh-CN" w:bidi="ar-SA"/>
        </w:rPr>
      </w:pPr>
      <w:r>
        <w:rPr>
          <w:rFonts w:hint="eastAsia" w:ascii="宋体" w:hAnsi="宋体" w:eastAsia="黑体" w:cs="Times New Roman"/>
          <w:bCs/>
          <w:sz w:val="36"/>
          <w:szCs w:val="28"/>
          <w:highlight w:val="none"/>
          <w:lang w:val="en-US" w:eastAsia="zh-CN"/>
        </w:rPr>
        <w:t>十三</w:t>
      </w:r>
      <w:r>
        <w:rPr>
          <w:rFonts w:hint="eastAsia" w:ascii="宋体" w:hAnsi="宋体" w:eastAsia="黑体" w:cs="Times New Roman"/>
          <w:bCs/>
          <w:sz w:val="36"/>
          <w:szCs w:val="28"/>
          <w:highlight w:val="none"/>
        </w:rPr>
        <w:t>、</w:t>
      </w:r>
      <w:r>
        <w:rPr>
          <w:rFonts w:hint="eastAsia" w:ascii="宋体" w:hAnsi="宋体" w:eastAsia="黑体" w:cs="Times New Roman"/>
          <w:bCs/>
          <w:color w:val="auto"/>
          <w:sz w:val="36"/>
          <w:szCs w:val="28"/>
          <w:highlight w:val="none"/>
        </w:rPr>
        <w:t>基地或仓库</w:t>
      </w:r>
    </w:p>
    <w:p w14:paraId="345EBC18">
      <w:pPr>
        <w:widowControl w:val="0"/>
        <w:spacing w:line="300" w:lineRule="exact"/>
        <w:jc w:val="both"/>
        <w:rPr>
          <w:rFonts w:ascii="宋体" w:hAnsi="宋体" w:eastAsia="宋体" w:cs="宋体"/>
          <w:color w:val="000000"/>
          <w:szCs w:val="21"/>
          <w:highlight w:val="none"/>
          <w14:textFill>
            <w14:solidFill>
              <w14:srgbClr w14:val="000000">
                <w14:lumMod w14:val="95000"/>
                <w14:lumOff w14:val="5000"/>
              </w14:srgbClr>
            </w14:solidFill>
          </w14:textFill>
        </w:rPr>
      </w:pPr>
      <w:r>
        <w:rPr>
          <w:rFonts w:hint="eastAsia" w:ascii="宋体" w:hAnsi="宋体" w:eastAsia="宋体" w:cs="宋体"/>
          <w:color w:val="000000"/>
          <w:szCs w:val="21"/>
          <w:highlight w:val="none"/>
          <w14:textFill>
            <w14:solidFill>
              <w14:srgbClr w14:val="000000">
                <w14:lumMod w14:val="95000"/>
                <w14:lumOff w14:val="5000"/>
              </w14:srgbClr>
            </w14:solidFill>
          </w14:textFill>
        </w:rPr>
        <w:t>在深圳设立基地或仓库：</w:t>
      </w:r>
    </w:p>
    <w:p w14:paraId="2EC5162F">
      <w:pPr>
        <w:widowControl w:val="0"/>
        <w:spacing w:line="300" w:lineRule="exact"/>
        <w:jc w:val="left"/>
        <w:rPr>
          <w:rFonts w:ascii="宋体" w:hAnsi="宋体" w:eastAsia="宋体" w:cs="宋体"/>
          <w:bCs/>
          <w:color w:val="000000"/>
          <w:szCs w:val="21"/>
          <w:highlight w:val="none"/>
          <w14:textFill>
            <w14:solidFill>
              <w14:srgbClr w14:val="000000">
                <w14:lumMod w14:val="95000"/>
                <w14:lumOff w14:val="5000"/>
              </w14:srgbClr>
            </w14:solidFill>
          </w14:textFill>
        </w:rPr>
      </w:pPr>
      <w:r>
        <w:rPr>
          <w:rFonts w:hint="eastAsia" w:ascii="宋体" w:hAnsi="宋体" w:eastAsia="宋体" w:cs="宋体"/>
          <w:b/>
          <w:color w:val="000000"/>
          <w:szCs w:val="21"/>
          <w:highlight w:val="none"/>
          <w14:textFill>
            <w14:solidFill>
              <w14:srgbClr w14:val="000000">
                <w14:lumMod w14:val="95000"/>
                <w14:lumOff w14:val="5000"/>
              </w14:srgbClr>
            </w14:solidFill>
          </w14:textFill>
        </w:rPr>
        <w:t>提供自有产权证明（或租赁合同）复印件及基地照片加盖投标人公章，原件备查,未提供或无法判断不得分,</w:t>
      </w:r>
    </w:p>
    <w:p w14:paraId="4A9B4A32">
      <w:pPr>
        <w:adjustRightInd/>
        <w:snapToGrid/>
        <w:spacing w:line="360" w:lineRule="auto"/>
        <w:ind w:firstLine="420" w:firstLineChars="200"/>
        <w:rPr>
          <w:rFonts w:hint="eastAsia" w:ascii="仿宋" w:hAnsi="仿宋" w:eastAsia="仿宋" w:cs="Times New Roman"/>
          <w:kern w:val="2"/>
          <w:sz w:val="24"/>
          <w:szCs w:val="24"/>
          <w:highlight w:val="none"/>
        </w:rPr>
      </w:pPr>
      <w:r>
        <w:rPr>
          <w:rFonts w:hint="eastAsia" w:ascii="宋体" w:hAnsi="宋体" w:eastAsia="宋体" w:cs="宋体"/>
          <w:bCs/>
          <w:color w:val="000000"/>
          <w:szCs w:val="21"/>
          <w:highlight w:val="none"/>
          <w14:textFill>
            <w14:solidFill>
              <w14:srgbClr w14:val="000000">
                <w14:lumMod w14:val="95000"/>
                <w14:lumOff w14:val="5000"/>
              </w14:srgbClr>
            </w14:solidFill>
          </w14:textFill>
        </w:rPr>
        <w:t>注：如为租赁场地还需要提供投</w:t>
      </w:r>
      <w:r>
        <w:rPr>
          <w:rFonts w:hint="eastAsia" w:ascii="宋体" w:hAnsi="宋体" w:cs="宋体"/>
          <w:bCs/>
          <w:color w:val="000000"/>
          <w:szCs w:val="21"/>
          <w:highlight w:val="none"/>
          <w:lang w:val="en-US" w:eastAsia="zh-CN"/>
          <w14:textFill>
            <w14:solidFill>
              <w14:srgbClr w14:val="000000">
                <w14:lumMod w14:val="95000"/>
                <w14:lumOff w14:val="5000"/>
              </w14:srgbClr>
            </w14:solidFill>
          </w14:textFill>
        </w:rPr>
        <w:t>标</w:t>
      </w:r>
      <w:r>
        <w:rPr>
          <w:rFonts w:hint="eastAsia" w:ascii="宋体" w:hAnsi="宋体" w:eastAsia="宋体" w:cs="宋体"/>
          <w:bCs/>
          <w:color w:val="000000"/>
          <w:szCs w:val="21"/>
          <w:highlight w:val="none"/>
          <w14:textFill>
            <w14:solidFill>
              <w14:srgbClr w14:val="000000">
                <w14:lumMod w14:val="95000"/>
                <w14:lumOff w14:val="5000"/>
              </w14:srgbClr>
            </w14:solidFill>
          </w14:textFill>
        </w:rPr>
        <w:t>截止日前三个月租金缴交记录复印件加盖投标人公章，原件备查,未提供或无法判断不得分。</w:t>
      </w:r>
      <w:bookmarkEnd w:id="506"/>
    </w:p>
    <w:p w14:paraId="1C0B5CDE">
      <w:pPr>
        <w:pStyle w:val="40"/>
        <w:spacing w:before="0" w:after="156" w:afterLines="50"/>
        <w:outlineLvl w:val="9"/>
        <w:rPr>
          <w:rFonts w:ascii="宋体" w:hAnsi="宋体" w:cs="宋体"/>
          <w:sz w:val="28"/>
          <w:szCs w:val="28"/>
          <w:highlight w:val="none"/>
        </w:rPr>
      </w:pPr>
      <w:bookmarkStart w:id="507" w:name="_Toc17741"/>
    </w:p>
    <w:bookmarkEnd w:id="507"/>
    <w:p w14:paraId="6E8426AD">
      <w:pPr>
        <w:pStyle w:val="40"/>
        <w:spacing w:before="0" w:after="156" w:afterLines="50"/>
        <w:outlineLvl w:val="9"/>
        <w:rPr>
          <w:rFonts w:ascii="宋体" w:hAnsi="宋体" w:cs="宋体"/>
          <w:sz w:val="28"/>
          <w:szCs w:val="28"/>
          <w:highlight w:val="none"/>
        </w:rPr>
      </w:pPr>
      <w:bookmarkStart w:id="508" w:name="_Toc181"/>
    </w:p>
    <w:p w14:paraId="5B0057AE">
      <w:pPr>
        <w:pStyle w:val="40"/>
        <w:spacing w:before="0" w:after="156" w:afterLines="50"/>
        <w:outlineLvl w:val="9"/>
        <w:rPr>
          <w:rFonts w:ascii="宋体" w:hAnsi="宋体" w:cs="宋体"/>
          <w:sz w:val="28"/>
          <w:szCs w:val="28"/>
          <w:highlight w:val="none"/>
        </w:rPr>
      </w:pPr>
    </w:p>
    <w:p w14:paraId="53ECD6BD">
      <w:pPr>
        <w:pStyle w:val="40"/>
        <w:spacing w:before="0" w:after="156" w:afterLines="50"/>
        <w:outlineLvl w:val="9"/>
        <w:rPr>
          <w:rFonts w:ascii="宋体" w:hAnsi="宋体" w:cs="宋体"/>
          <w:sz w:val="28"/>
          <w:szCs w:val="28"/>
          <w:highlight w:val="none"/>
        </w:rPr>
      </w:pPr>
    </w:p>
    <w:p w14:paraId="7DFA9E6E">
      <w:pPr>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br w:type="page"/>
      </w:r>
    </w:p>
    <w:bookmarkEnd w:id="508"/>
    <w:p w14:paraId="784F9631">
      <w:pPr>
        <w:spacing w:before="100" w:after="120" w:afterLines="50" w:line="360" w:lineRule="auto"/>
        <w:jc w:val="center"/>
        <w:outlineLvl w:val="3"/>
        <w:rPr>
          <w:rFonts w:ascii="黑体" w:eastAsia="黑体"/>
          <w:b/>
          <w:snapToGrid w:val="0"/>
          <w:color w:val="auto"/>
          <w:sz w:val="30"/>
          <w:szCs w:val="30"/>
          <w:highlight w:val="none"/>
        </w:rPr>
      </w:pPr>
      <w:bookmarkStart w:id="509" w:name="_Toc32403"/>
      <w:bookmarkStart w:id="510" w:name="_Toc14727"/>
      <w:bookmarkStart w:id="511" w:name="_Toc7596"/>
      <w:bookmarkStart w:id="512" w:name="_Toc11924"/>
      <w:r>
        <w:rPr>
          <w:rFonts w:hint="eastAsia" w:ascii="宋体" w:hAnsi="宋体" w:eastAsia="黑体" w:cs="Times New Roman"/>
          <w:bCs/>
          <w:sz w:val="36"/>
          <w:szCs w:val="28"/>
          <w:highlight w:val="none"/>
          <w:lang w:val="en-US" w:eastAsia="zh-CN"/>
        </w:rPr>
        <w:t>十四、</w:t>
      </w:r>
      <w:r>
        <w:rPr>
          <w:rFonts w:hint="eastAsia" w:ascii="宋体" w:hAnsi="宋体" w:eastAsia="黑体"/>
          <w:b w:val="0"/>
          <w:bCs/>
          <w:color w:val="auto"/>
          <w:sz w:val="36"/>
          <w:szCs w:val="28"/>
          <w:highlight w:val="none"/>
        </w:rPr>
        <w:t>投标人业绩</w:t>
      </w:r>
    </w:p>
    <w:tbl>
      <w:tblPr>
        <w:tblStyle w:val="44"/>
        <w:tblpPr w:leftFromText="180" w:rightFromText="180" w:vertAnchor="text" w:horzAnchor="page" w:tblpX="1286" w:tblpY="372"/>
        <w:tblOverlap w:val="never"/>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164"/>
        <w:gridCol w:w="1183"/>
        <w:gridCol w:w="1114"/>
        <w:gridCol w:w="1276"/>
        <w:gridCol w:w="2835"/>
        <w:gridCol w:w="709"/>
      </w:tblGrid>
      <w:tr w14:paraId="04100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trPr>
        <w:tc>
          <w:tcPr>
            <w:tcW w:w="645" w:type="dxa"/>
            <w:vAlign w:val="center"/>
          </w:tcPr>
          <w:p w14:paraId="07369FA2">
            <w:pPr>
              <w:spacing w:line="276" w:lineRule="auto"/>
              <w:rPr>
                <w:rFonts w:ascii="仿宋" w:hAnsi="仿宋" w:eastAsia="仿宋"/>
                <w:szCs w:val="21"/>
                <w:highlight w:val="none"/>
              </w:rPr>
            </w:pPr>
            <w:r>
              <w:rPr>
                <w:rFonts w:hint="eastAsia" w:ascii="仿宋" w:hAnsi="仿宋" w:eastAsia="仿宋"/>
                <w:szCs w:val="21"/>
                <w:highlight w:val="none"/>
              </w:rPr>
              <w:t>序号</w:t>
            </w:r>
          </w:p>
        </w:tc>
        <w:tc>
          <w:tcPr>
            <w:tcW w:w="1164" w:type="dxa"/>
            <w:vAlign w:val="center"/>
          </w:tcPr>
          <w:p w14:paraId="09D57D21">
            <w:pPr>
              <w:spacing w:line="276" w:lineRule="auto"/>
              <w:rPr>
                <w:rFonts w:ascii="仿宋" w:hAnsi="仿宋" w:eastAsia="仿宋"/>
                <w:szCs w:val="21"/>
                <w:highlight w:val="none"/>
              </w:rPr>
            </w:pPr>
            <w:r>
              <w:rPr>
                <w:rFonts w:hint="eastAsia" w:ascii="仿宋" w:hAnsi="仿宋" w:eastAsia="仿宋"/>
                <w:szCs w:val="21"/>
                <w:highlight w:val="none"/>
              </w:rPr>
              <w:t>项目名称</w:t>
            </w:r>
          </w:p>
        </w:tc>
        <w:tc>
          <w:tcPr>
            <w:tcW w:w="1183" w:type="dxa"/>
            <w:vAlign w:val="center"/>
          </w:tcPr>
          <w:p w14:paraId="3C592C62">
            <w:pPr>
              <w:spacing w:line="276" w:lineRule="auto"/>
              <w:rPr>
                <w:rFonts w:ascii="仿宋" w:hAnsi="仿宋" w:eastAsia="仿宋"/>
                <w:szCs w:val="21"/>
                <w:highlight w:val="none"/>
              </w:rPr>
            </w:pPr>
            <w:r>
              <w:rPr>
                <w:rFonts w:hint="eastAsia" w:ascii="仿宋" w:hAnsi="仿宋" w:eastAsia="仿宋"/>
                <w:szCs w:val="21"/>
                <w:highlight w:val="none"/>
              </w:rPr>
              <w:t>使用单位</w:t>
            </w:r>
          </w:p>
        </w:tc>
        <w:tc>
          <w:tcPr>
            <w:tcW w:w="1114" w:type="dxa"/>
            <w:vAlign w:val="center"/>
          </w:tcPr>
          <w:p w14:paraId="14A45618">
            <w:pPr>
              <w:spacing w:line="276" w:lineRule="auto"/>
              <w:rPr>
                <w:rFonts w:ascii="仿宋" w:hAnsi="仿宋" w:eastAsia="仿宋"/>
                <w:szCs w:val="21"/>
                <w:highlight w:val="none"/>
              </w:rPr>
            </w:pPr>
            <w:r>
              <w:rPr>
                <w:rFonts w:hint="eastAsia" w:ascii="仿宋" w:hAnsi="仿宋" w:eastAsia="仿宋"/>
                <w:szCs w:val="21"/>
                <w:highlight w:val="none"/>
              </w:rPr>
              <w:t>合同金额</w:t>
            </w:r>
          </w:p>
        </w:tc>
        <w:tc>
          <w:tcPr>
            <w:tcW w:w="1276" w:type="dxa"/>
            <w:vAlign w:val="center"/>
          </w:tcPr>
          <w:p w14:paraId="02A7A427">
            <w:pPr>
              <w:spacing w:line="276" w:lineRule="auto"/>
              <w:rPr>
                <w:rFonts w:ascii="仿宋" w:hAnsi="仿宋" w:eastAsia="仿宋"/>
                <w:szCs w:val="21"/>
                <w:highlight w:val="none"/>
              </w:rPr>
            </w:pPr>
            <w:r>
              <w:rPr>
                <w:rFonts w:hint="eastAsia" w:ascii="仿宋" w:hAnsi="仿宋" w:eastAsia="仿宋"/>
                <w:szCs w:val="21"/>
                <w:highlight w:val="none"/>
              </w:rPr>
              <w:t>实施时间</w:t>
            </w:r>
          </w:p>
        </w:tc>
        <w:tc>
          <w:tcPr>
            <w:tcW w:w="2835" w:type="dxa"/>
            <w:vAlign w:val="center"/>
          </w:tcPr>
          <w:p w14:paraId="4B0031F5">
            <w:pPr>
              <w:spacing w:line="276" w:lineRule="auto"/>
              <w:rPr>
                <w:rFonts w:ascii="仿宋" w:hAnsi="仿宋" w:eastAsia="仿宋"/>
                <w:szCs w:val="21"/>
                <w:highlight w:val="none"/>
              </w:rPr>
            </w:pPr>
            <w:r>
              <w:rPr>
                <w:rFonts w:hint="eastAsia" w:ascii="仿宋" w:hAnsi="仿宋" w:eastAsia="仿宋"/>
                <w:szCs w:val="21"/>
                <w:highlight w:val="none"/>
              </w:rPr>
              <w:t>业绩证明材料所在页码</w:t>
            </w:r>
          </w:p>
        </w:tc>
        <w:tc>
          <w:tcPr>
            <w:tcW w:w="709" w:type="dxa"/>
            <w:vAlign w:val="center"/>
          </w:tcPr>
          <w:p w14:paraId="01F1B057">
            <w:pPr>
              <w:spacing w:line="276" w:lineRule="auto"/>
              <w:rPr>
                <w:rFonts w:ascii="仿宋" w:hAnsi="仿宋" w:eastAsia="仿宋"/>
                <w:szCs w:val="21"/>
                <w:highlight w:val="none"/>
              </w:rPr>
            </w:pPr>
            <w:r>
              <w:rPr>
                <w:rFonts w:hint="eastAsia" w:ascii="仿宋" w:hAnsi="仿宋" w:eastAsia="仿宋"/>
                <w:szCs w:val="21"/>
                <w:highlight w:val="none"/>
              </w:rPr>
              <w:t>备注</w:t>
            </w:r>
          </w:p>
        </w:tc>
      </w:tr>
      <w:tr w14:paraId="65F49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45" w:type="dxa"/>
            <w:vAlign w:val="center"/>
          </w:tcPr>
          <w:p w14:paraId="4A4A6AB7">
            <w:pPr>
              <w:spacing w:line="276" w:lineRule="auto"/>
              <w:jc w:val="center"/>
              <w:rPr>
                <w:rFonts w:ascii="仿宋" w:hAnsi="仿宋" w:eastAsia="仿宋"/>
                <w:szCs w:val="21"/>
                <w:highlight w:val="none"/>
              </w:rPr>
            </w:pPr>
            <w:r>
              <w:rPr>
                <w:rFonts w:hint="eastAsia" w:ascii="仿宋" w:hAnsi="仿宋" w:eastAsia="仿宋"/>
                <w:szCs w:val="21"/>
                <w:highlight w:val="none"/>
              </w:rPr>
              <w:t>1</w:t>
            </w:r>
          </w:p>
        </w:tc>
        <w:tc>
          <w:tcPr>
            <w:tcW w:w="1164" w:type="dxa"/>
            <w:vAlign w:val="center"/>
          </w:tcPr>
          <w:p w14:paraId="2D0D85B3">
            <w:pPr>
              <w:spacing w:line="276" w:lineRule="auto"/>
              <w:ind w:firstLine="420" w:firstLineChars="200"/>
              <w:rPr>
                <w:rFonts w:ascii="仿宋" w:hAnsi="仿宋" w:eastAsia="仿宋"/>
                <w:szCs w:val="21"/>
                <w:highlight w:val="none"/>
              </w:rPr>
            </w:pPr>
          </w:p>
        </w:tc>
        <w:tc>
          <w:tcPr>
            <w:tcW w:w="1183" w:type="dxa"/>
            <w:vAlign w:val="center"/>
          </w:tcPr>
          <w:p w14:paraId="098ACB2B">
            <w:pPr>
              <w:spacing w:line="276" w:lineRule="auto"/>
              <w:ind w:firstLine="420" w:firstLineChars="200"/>
              <w:rPr>
                <w:rFonts w:ascii="仿宋" w:hAnsi="仿宋" w:eastAsia="仿宋"/>
                <w:szCs w:val="21"/>
                <w:highlight w:val="none"/>
              </w:rPr>
            </w:pPr>
          </w:p>
        </w:tc>
        <w:tc>
          <w:tcPr>
            <w:tcW w:w="1114" w:type="dxa"/>
            <w:vAlign w:val="center"/>
          </w:tcPr>
          <w:p w14:paraId="3B99D038">
            <w:pPr>
              <w:spacing w:line="276" w:lineRule="auto"/>
              <w:ind w:firstLine="420" w:firstLineChars="200"/>
              <w:rPr>
                <w:rFonts w:ascii="仿宋" w:hAnsi="仿宋" w:eastAsia="仿宋"/>
                <w:szCs w:val="21"/>
                <w:highlight w:val="none"/>
              </w:rPr>
            </w:pPr>
          </w:p>
        </w:tc>
        <w:tc>
          <w:tcPr>
            <w:tcW w:w="1276" w:type="dxa"/>
            <w:vAlign w:val="center"/>
          </w:tcPr>
          <w:p w14:paraId="26D7EFF3">
            <w:pPr>
              <w:spacing w:line="276" w:lineRule="auto"/>
              <w:ind w:firstLine="420" w:firstLineChars="200"/>
              <w:rPr>
                <w:rFonts w:ascii="仿宋" w:hAnsi="仿宋" w:eastAsia="仿宋"/>
                <w:szCs w:val="21"/>
                <w:highlight w:val="none"/>
              </w:rPr>
            </w:pPr>
          </w:p>
        </w:tc>
        <w:tc>
          <w:tcPr>
            <w:tcW w:w="2835" w:type="dxa"/>
            <w:vAlign w:val="center"/>
          </w:tcPr>
          <w:p w14:paraId="684D105F">
            <w:pPr>
              <w:spacing w:line="276" w:lineRule="auto"/>
              <w:ind w:firstLine="420" w:firstLineChars="200"/>
              <w:rPr>
                <w:rFonts w:ascii="仿宋" w:hAnsi="仿宋" w:eastAsia="仿宋"/>
                <w:szCs w:val="21"/>
                <w:highlight w:val="none"/>
              </w:rPr>
            </w:pPr>
          </w:p>
        </w:tc>
        <w:tc>
          <w:tcPr>
            <w:tcW w:w="709" w:type="dxa"/>
            <w:vAlign w:val="center"/>
          </w:tcPr>
          <w:p w14:paraId="26F38399">
            <w:pPr>
              <w:spacing w:line="276" w:lineRule="auto"/>
              <w:ind w:firstLine="420" w:firstLineChars="200"/>
              <w:rPr>
                <w:rFonts w:ascii="仿宋" w:hAnsi="仿宋" w:eastAsia="仿宋"/>
                <w:szCs w:val="21"/>
                <w:highlight w:val="none"/>
              </w:rPr>
            </w:pPr>
          </w:p>
        </w:tc>
      </w:tr>
      <w:tr w14:paraId="32C3B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45" w:type="dxa"/>
            <w:vAlign w:val="center"/>
          </w:tcPr>
          <w:p w14:paraId="76132A7B">
            <w:pPr>
              <w:spacing w:line="276" w:lineRule="auto"/>
              <w:jc w:val="center"/>
              <w:rPr>
                <w:rFonts w:ascii="仿宋" w:hAnsi="仿宋" w:eastAsia="仿宋"/>
                <w:szCs w:val="21"/>
                <w:highlight w:val="none"/>
              </w:rPr>
            </w:pPr>
            <w:r>
              <w:rPr>
                <w:rFonts w:hint="eastAsia" w:ascii="仿宋" w:hAnsi="仿宋" w:eastAsia="仿宋"/>
                <w:szCs w:val="21"/>
                <w:highlight w:val="none"/>
              </w:rPr>
              <w:t>2</w:t>
            </w:r>
          </w:p>
        </w:tc>
        <w:tc>
          <w:tcPr>
            <w:tcW w:w="1164" w:type="dxa"/>
            <w:vAlign w:val="center"/>
          </w:tcPr>
          <w:p w14:paraId="28975B03">
            <w:pPr>
              <w:spacing w:line="276" w:lineRule="auto"/>
              <w:ind w:firstLine="420" w:firstLineChars="200"/>
              <w:rPr>
                <w:rFonts w:ascii="仿宋" w:hAnsi="仿宋" w:eastAsia="仿宋"/>
                <w:szCs w:val="21"/>
                <w:highlight w:val="none"/>
              </w:rPr>
            </w:pPr>
          </w:p>
        </w:tc>
        <w:tc>
          <w:tcPr>
            <w:tcW w:w="1183" w:type="dxa"/>
            <w:vAlign w:val="center"/>
          </w:tcPr>
          <w:p w14:paraId="0762FEDA">
            <w:pPr>
              <w:spacing w:line="276" w:lineRule="auto"/>
              <w:ind w:firstLine="420" w:firstLineChars="200"/>
              <w:rPr>
                <w:rFonts w:ascii="仿宋" w:hAnsi="仿宋" w:eastAsia="仿宋"/>
                <w:szCs w:val="21"/>
                <w:highlight w:val="none"/>
              </w:rPr>
            </w:pPr>
          </w:p>
        </w:tc>
        <w:tc>
          <w:tcPr>
            <w:tcW w:w="1114" w:type="dxa"/>
            <w:vAlign w:val="center"/>
          </w:tcPr>
          <w:p w14:paraId="148ED81F">
            <w:pPr>
              <w:spacing w:line="276" w:lineRule="auto"/>
              <w:ind w:firstLine="420" w:firstLineChars="200"/>
              <w:rPr>
                <w:rFonts w:ascii="仿宋" w:hAnsi="仿宋" w:eastAsia="仿宋"/>
                <w:szCs w:val="21"/>
                <w:highlight w:val="none"/>
              </w:rPr>
            </w:pPr>
          </w:p>
        </w:tc>
        <w:tc>
          <w:tcPr>
            <w:tcW w:w="1276" w:type="dxa"/>
            <w:vAlign w:val="center"/>
          </w:tcPr>
          <w:p w14:paraId="1BA3DAC1">
            <w:pPr>
              <w:spacing w:line="276" w:lineRule="auto"/>
              <w:ind w:firstLine="420" w:firstLineChars="200"/>
              <w:rPr>
                <w:rFonts w:ascii="仿宋" w:hAnsi="仿宋" w:eastAsia="仿宋"/>
                <w:szCs w:val="21"/>
                <w:highlight w:val="none"/>
              </w:rPr>
            </w:pPr>
          </w:p>
        </w:tc>
        <w:tc>
          <w:tcPr>
            <w:tcW w:w="2835" w:type="dxa"/>
            <w:vAlign w:val="center"/>
          </w:tcPr>
          <w:p w14:paraId="32CB4C9B">
            <w:pPr>
              <w:spacing w:line="276" w:lineRule="auto"/>
              <w:ind w:firstLine="420" w:firstLineChars="200"/>
              <w:rPr>
                <w:rFonts w:ascii="仿宋" w:hAnsi="仿宋" w:eastAsia="仿宋"/>
                <w:szCs w:val="21"/>
                <w:highlight w:val="none"/>
              </w:rPr>
            </w:pPr>
          </w:p>
        </w:tc>
        <w:tc>
          <w:tcPr>
            <w:tcW w:w="709" w:type="dxa"/>
            <w:vAlign w:val="center"/>
          </w:tcPr>
          <w:p w14:paraId="472BEBF7">
            <w:pPr>
              <w:spacing w:line="276" w:lineRule="auto"/>
              <w:ind w:firstLine="420" w:firstLineChars="200"/>
              <w:rPr>
                <w:rFonts w:ascii="仿宋" w:hAnsi="仿宋" w:eastAsia="仿宋"/>
                <w:szCs w:val="21"/>
                <w:highlight w:val="none"/>
              </w:rPr>
            </w:pPr>
          </w:p>
        </w:tc>
      </w:tr>
      <w:tr w14:paraId="52C20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45" w:type="dxa"/>
            <w:vAlign w:val="center"/>
          </w:tcPr>
          <w:p w14:paraId="0F505D64">
            <w:pPr>
              <w:spacing w:line="276" w:lineRule="auto"/>
              <w:jc w:val="center"/>
              <w:rPr>
                <w:rFonts w:ascii="仿宋" w:hAnsi="仿宋" w:eastAsia="仿宋"/>
                <w:szCs w:val="21"/>
                <w:highlight w:val="none"/>
              </w:rPr>
            </w:pPr>
            <w:r>
              <w:rPr>
                <w:rFonts w:hint="eastAsia" w:ascii="仿宋" w:hAnsi="仿宋" w:eastAsia="仿宋"/>
                <w:szCs w:val="21"/>
                <w:highlight w:val="none"/>
              </w:rPr>
              <w:t>3</w:t>
            </w:r>
          </w:p>
        </w:tc>
        <w:tc>
          <w:tcPr>
            <w:tcW w:w="1164" w:type="dxa"/>
            <w:vAlign w:val="center"/>
          </w:tcPr>
          <w:p w14:paraId="77D15D5B">
            <w:pPr>
              <w:spacing w:line="276" w:lineRule="auto"/>
              <w:ind w:firstLine="420" w:firstLineChars="200"/>
              <w:rPr>
                <w:rFonts w:ascii="仿宋" w:hAnsi="仿宋" w:eastAsia="仿宋"/>
                <w:szCs w:val="21"/>
                <w:highlight w:val="none"/>
              </w:rPr>
            </w:pPr>
          </w:p>
        </w:tc>
        <w:tc>
          <w:tcPr>
            <w:tcW w:w="1183" w:type="dxa"/>
            <w:vAlign w:val="center"/>
          </w:tcPr>
          <w:p w14:paraId="052F69F9">
            <w:pPr>
              <w:spacing w:line="276" w:lineRule="auto"/>
              <w:ind w:firstLine="420" w:firstLineChars="200"/>
              <w:rPr>
                <w:rFonts w:ascii="仿宋" w:hAnsi="仿宋" w:eastAsia="仿宋"/>
                <w:szCs w:val="21"/>
                <w:highlight w:val="none"/>
              </w:rPr>
            </w:pPr>
          </w:p>
        </w:tc>
        <w:tc>
          <w:tcPr>
            <w:tcW w:w="1114" w:type="dxa"/>
            <w:vAlign w:val="center"/>
          </w:tcPr>
          <w:p w14:paraId="716B0209">
            <w:pPr>
              <w:spacing w:line="276" w:lineRule="auto"/>
              <w:ind w:firstLine="420" w:firstLineChars="200"/>
              <w:rPr>
                <w:rFonts w:ascii="仿宋" w:hAnsi="仿宋" w:eastAsia="仿宋"/>
                <w:szCs w:val="21"/>
                <w:highlight w:val="none"/>
              </w:rPr>
            </w:pPr>
          </w:p>
        </w:tc>
        <w:tc>
          <w:tcPr>
            <w:tcW w:w="1276" w:type="dxa"/>
            <w:vAlign w:val="center"/>
          </w:tcPr>
          <w:p w14:paraId="44983FFD">
            <w:pPr>
              <w:spacing w:line="276" w:lineRule="auto"/>
              <w:ind w:firstLine="420" w:firstLineChars="200"/>
              <w:rPr>
                <w:rFonts w:ascii="仿宋" w:hAnsi="仿宋" w:eastAsia="仿宋"/>
                <w:szCs w:val="21"/>
                <w:highlight w:val="none"/>
              </w:rPr>
            </w:pPr>
          </w:p>
        </w:tc>
        <w:tc>
          <w:tcPr>
            <w:tcW w:w="2835" w:type="dxa"/>
            <w:vAlign w:val="center"/>
          </w:tcPr>
          <w:p w14:paraId="4D5F143F">
            <w:pPr>
              <w:spacing w:line="276" w:lineRule="auto"/>
              <w:ind w:firstLine="420" w:firstLineChars="200"/>
              <w:rPr>
                <w:rFonts w:ascii="仿宋" w:hAnsi="仿宋" w:eastAsia="仿宋"/>
                <w:szCs w:val="21"/>
                <w:highlight w:val="none"/>
              </w:rPr>
            </w:pPr>
          </w:p>
        </w:tc>
        <w:tc>
          <w:tcPr>
            <w:tcW w:w="709" w:type="dxa"/>
            <w:vAlign w:val="center"/>
          </w:tcPr>
          <w:p w14:paraId="0A459654">
            <w:pPr>
              <w:spacing w:line="276" w:lineRule="auto"/>
              <w:ind w:firstLine="420" w:firstLineChars="200"/>
              <w:rPr>
                <w:rFonts w:ascii="仿宋" w:hAnsi="仿宋" w:eastAsia="仿宋"/>
                <w:szCs w:val="21"/>
                <w:highlight w:val="none"/>
              </w:rPr>
            </w:pPr>
          </w:p>
        </w:tc>
      </w:tr>
      <w:tr w14:paraId="151D2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45" w:type="dxa"/>
            <w:vAlign w:val="center"/>
          </w:tcPr>
          <w:p w14:paraId="2B641753">
            <w:pPr>
              <w:spacing w:line="276" w:lineRule="auto"/>
              <w:jc w:val="center"/>
              <w:rPr>
                <w:rFonts w:ascii="仿宋" w:hAnsi="仿宋" w:eastAsia="仿宋"/>
                <w:szCs w:val="21"/>
                <w:highlight w:val="none"/>
              </w:rPr>
            </w:pPr>
            <w:r>
              <w:rPr>
                <w:rFonts w:hint="eastAsia" w:ascii="仿宋" w:hAnsi="仿宋" w:eastAsia="仿宋"/>
                <w:szCs w:val="21"/>
                <w:highlight w:val="none"/>
              </w:rPr>
              <w:t>4</w:t>
            </w:r>
          </w:p>
        </w:tc>
        <w:tc>
          <w:tcPr>
            <w:tcW w:w="1164" w:type="dxa"/>
            <w:vAlign w:val="center"/>
          </w:tcPr>
          <w:p w14:paraId="7C2B8811">
            <w:pPr>
              <w:spacing w:line="276" w:lineRule="auto"/>
              <w:ind w:firstLine="420" w:firstLineChars="200"/>
              <w:rPr>
                <w:rFonts w:ascii="仿宋" w:hAnsi="仿宋" w:eastAsia="仿宋"/>
                <w:szCs w:val="21"/>
                <w:highlight w:val="none"/>
              </w:rPr>
            </w:pPr>
          </w:p>
        </w:tc>
        <w:tc>
          <w:tcPr>
            <w:tcW w:w="1183" w:type="dxa"/>
            <w:vAlign w:val="center"/>
          </w:tcPr>
          <w:p w14:paraId="49B409A8">
            <w:pPr>
              <w:spacing w:line="276" w:lineRule="auto"/>
              <w:ind w:firstLine="420" w:firstLineChars="200"/>
              <w:rPr>
                <w:rFonts w:ascii="仿宋" w:hAnsi="仿宋" w:eastAsia="仿宋"/>
                <w:szCs w:val="21"/>
                <w:highlight w:val="none"/>
              </w:rPr>
            </w:pPr>
          </w:p>
        </w:tc>
        <w:tc>
          <w:tcPr>
            <w:tcW w:w="1114" w:type="dxa"/>
            <w:vAlign w:val="center"/>
          </w:tcPr>
          <w:p w14:paraId="66D34A9F">
            <w:pPr>
              <w:spacing w:line="276" w:lineRule="auto"/>
              <w:ind w:firstLine="420" w:firstLineChars="200"/>
              <w:rPr>
                <w:rFonts w:ascii="仿宋" w:hAnsi="仿宋" w:eastAsia="仿宋"/>
                <w:szCs w:val="21"/>
                <w:highlight w:val="none"/>
              </w:rPr>
            </w:pPr>
          </w:p>
        </w:tc>
        <w:tc>
          <w:tcPr>
            <w:tcW w:w="1276" w:type="dxa"/>
            <w:vAlign w:val="center"/>
          </w:tcPr>
          <w:p w14:paraId="6353B361">
            <w:pPr>
              <w:spacing w:line="276" w:lineRule="auto"/>
              <w:ind w:firstLine="420" w:firstLineChars="200"/>
              <w:rPr>
                <w:rFonts w:ascii="仿宋" w:hAnsi="仿宋" w:eastAsia="仿宋"/>
                <w:szCs w:val="21"/>
                <w:highlight w:val="none"/>
              </w:rPr>
            </w:pPr>
          </w:p>
        </w:tc>
        <w:tc>
          <w:tcPr>
            <w:tcW w:w="2835" w:type="dxa"/>
            <w:vAlign w:val="center"/>
          </w:tcPr>
          <w:p w14:paraId="4EA2C433">
            <w:pPr>
              <w:spacing w:line="276" w:lineRule="auto"/>
              <w:ind w:firstLine="420" w:firstLineChars="200"/>
              <w:rPr>
                <w:rFonts w:ascii="仿宋" w:hAnsi="仿宋" w:eastAsia="仿宋"/>
                <w:szCs w:val="21"/>
                <w:highlight w:val="none"/>
              </w:rPr>
            </w:pPr>
          </w:p>
        </w:tc>
        <w:tc>
          <w:tcPr>
            <w:tcW w:w="709" w:type="dxa"/>
            <w:vAlign w:val="center"/>
          </w:tcPr>
          <w:p w14:paraId="7543CD46">
            <w:pPr>
              <w:spacing w:line="276" w:lineRule="auto"/>
              <w:ind w:firstLine="420" w:firstLineChars="200"/>
              <w:rPr>
                <w:rFonts w:ascii="仿宋" w:hAnsi="仿宋" w:eastAsia="仿宋"/>
                <w:szCs w:val="21"/>
                <w:highlight w:val="none"/>
              </w:rPr>
            </w:pPr>
          </w:p>
        </w:tc>
      </w:tr>
      <w:tr w14:paraId="7B3EC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45" w:type="dxa"/>
            <w:vAlign w:val="center"/>
          </w:tcPr>
          <w:p w14:paraId="328938CD">
            <w:pPr>
              <w:spacing w:line="276" w:lineRule="auto"/>
              <w:jc w:val="center"/>
              <w:rPr>
                <w:rFonts w:ascii="仿宋" w:hAnsi="仿宋" w:eastAsia="仿宋"/>
                <w:szCs w:val="21"/>
                <w:highlight w:val="none"/>
              </w:rPr>
            </w:pPr>
            <w:r>
              <w:rPr>
                <w:rFonts w:hint="eastAsia" w:ascii="仿宋" w:hAnsi="仿宋" w:eastAsia="仿宋"/>
                <w:szCs w:val="21"/>
                <w:highlight w:val="none"/>
              </w:rPr>
              <w:t>5</w:t>
            </w:r>
          </w:p>
        </w:tc>
        <w:tc>
          <w:tcPr>
            <w:tcW w:w="1164" w:type="dxa"/>
            <w:vAlign w:val="center"/>
          </w:tcPr>
          <w:p w14:paraId="4180B95B">
            <w:pPr>
              <w:spacing w:line="276" w:lineRule="auto"/>
              <w:ind w:firstLine="420" w:firstLineChars="200"/>
              <w:rPr>
                <w:rFonts w:ascii="仿宋" w:hAnsi="仿宋" w:eastAsia="仿宋"/>
                <w:szCs w:val="21"/>
                <w:highlight w:val="none"/>
              </w:rPr>
            </w:pPr>
          </w:p>
        </w:tc>
        <w:tc>
          <w:tcPr>
            <w:tcW w:w="1183" w:type="dxa"/>
            <w:vAlign w:val="center"/>
          </w:tcPr>
          <w:p w14:paraId="095AE36E">
            <w:pPr>
              <w:spacing w:line="276" w:lineRule="auto"/>
              <w:ind w:firstLine="420" w:firstLineChars="200"/>
              <w:rPr>
                <w:rFonts w:ascii="仿宋" w:hAnsi="仿宋" w:eastAsia="仿宋"/>
                <w:szCs w:val="21"/>
                <w:highlight w:val="none"/>
              </w:rPr>
            </w:pPr>
          </w:p>
        </w:tc>
        <w:tc>
          <w:tcPr>
            <w:tcW w:w="1114" w:type="dxa"/>
            <w:vAlign w:val="center"/>
          </w:tcPr>
          <w:p w14:paraId="501760C6">
            <w:pPr>
              <w:spacing w:line="276" w:lineRule="auto"/>
              <w:ind w:firstLine="420" w:firstLineChars="200"/>
              <w:rPr>
                <w:rFonts w:ascii="仿宋" w:hAnsi="仿宋" w:eastAsia="仿宋"/>
                <w:szCs w:val="21"/>
                <w:highlight w:val="none"/>
              </w:rPr>
            </w:pPr>
          </w:p>
        </w:tc>
        <w:tc>
          <w:tcPr>
            <w:tcW w:w="1276" w:type="dxa"/>
            <w:vAlign w:val="center"/>
          </w:tcPr>
          <w:p w14:paraId="0E734A83">
            <w:pPr>
              <w:spacing w:line="276" w:lineRule="auto"/>
              <w:ind w:firstLine="420" w:firstLineChars="200"/>
              <w:rPr>
                <w:rFonts w:ascii="仿宋" w:hAnsi="仿宋" w:eastAsia="仿宋"/>
                <w:szCs w:val="21"/>
                <w:highlight w:val="none"/>
              </w:rPr>
            </w:pPr>
          </w:p>
        </w:tc>
        <w:tc>
          <w:tcPr>
            <w:tcW w:w="2835" w:type="dxa"/>
            <w:vAlign w:val="center"/>
          </w:tcPr>
          <w:p w14:paraId="75170ACA">
            <w:pPr>
              <w:spacing w:line="276" w:lineRule="auto"/>
              <w:ind w:firstLine="420" w:firstLineChars="200"/>
              <w:rPr>
                <w:rFonts w:ascii="仿宋" w:hAnsi="仿宋" w:eastAsia="仿宋"/>
                <w:szCs w:val="21"/>
                <w:highlight w:val="none"/>
              </w:rPr>
            </w:pPr>
          </w:p>
        </w:tc>
        <w:tc>
          <w:tcPr>
            <w:tcW w:w="709" w:type="dxa"/>
            <w:vAlign w:val="center"/>
          </w:tcPr>
          <w:p w14:paraId="353A5F02">
            <w:pPr>
              <w:spacing w:line="276" w:lineRule="auto"/>
              <w:ind w:firstLine="420" w:firstLineChars="200"/>
              <w:rPr>
                <w:rFonts w:ascii="仿宋" w:hAnsi="仿宋" w:eastAsia="仿宋"/>
                <w:szCs w:val="21"/>
                <w:highlight w:val="none"/>
              </w:rPr>
            </w:pPr>
          </w:p>
        </w:tc>
      </w:tr>
      <w:tr w14:paraId="3C3CE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992" w:type="dxa"/>
            <w:gridSpan w:val="3"/>
            <w:vAlign w:val="center"/>
          </w:tcPr>
          <w:p w14:paraId="77A3A214">
            <w:pPr>
              <w:spacing w:line="276" w:lineRule="auto"/>
              <w:ind w:firstLine="420" w:firstLineChars="200"/>
              <w:rPr>
                <w:rFonts w:ascii="仿宋" w:hAnsi="仿宋" w:eastAsia="仿宋"/>
                <w:szCs w:val="21"/>
                <w:highlight w:val="none"/>
              </w:rPr>
            </w:pPr>
            <w:r>
              <w:rPr>
                <w:rFonts w:hint="eastAsia" w:ascii="仿宋" w:hAnsi="仿宋" w:eastAsia="仿宋"/>
                <w:szCs w:val="21"/>
                <w:highlight w:val="none"/>
              </w:rPr>
              <w:t>累计合同金额</w:t>
            </w:r>
          </w:p>
        </w:tc>
        <w:tc>
          <w:tcPr>
            <w:tcW w:w="5934" w:type="dxa"/>
            <w:gridSpan w:val="4"/>
            <w:vAlign w:val="center"/>
          </w:tcPr>
          <w:p w14:paraId="3E625AB5">
            <w:pPr>
              <w:spacing w:line="276" w:lineRule="auto"/>
              <w:ind w:firstLine="420" w:firstLineChars="200"/>
              <w:rPr>
                <w:rFonts w:ascii="仿宋" w:hAnsi="仿宋" w:eastAsia="仿宋"/>
                <w:szCs w:val="21"/>
                <w:highlight w:val="none"/>
              </w:rPr>
            </w:pPr>
          </w:p>
        </w:tc>
      </w:tr>
    </w:tbl>
    <w:p w14:paraId="7CF59FEE">
      <w:pPr>
        <w:spacing w:line="400" w:lineRule="exact"/>
        <w:ind w:left="-619" w:leftChars="-295"/>
        <w:rPr>
          <w:rFonts w:hint="eastAsia" w:ascii="宋体" w:hAnsi="宋体" w:cs="宋体"/>
          <w:szCs w:val="21"/>
          <w:highlight w:val="none"/>
        </w:rPr>
      </w:pPr>
    </w:p>
    <w:p w14:paraId="22629952">
      <w:pPr>
        <w:spacing w:line="400" w:lineRule="exact"/>
        <w:ind w:left="-619" w:leftChars="-295"/>
        <w:rPr>
          <w:rFonts w:ascii="宋体" w:hAnsi="宋体" w:cs="宋体"/>
          <w:szCs w:val="21"/>
          <w:highlight w:val="none"/>
        </w:rPr>
      </w:pPr>
      <w:r>
        <w:rPr>
          <w:rFonts w:hint="eastAsia" w:ascii="宋体" w:hAnsi="宋体" w:cs="宋体"/>
          <w:szCs w:val="21"/>
          <w:highlight w:val="none"/>
        </w:rPr>
        <w:t>附证明材料：</w:t>
      </w:r>
    </w:p>
    <w:p w14:paraId="2D0DCA66">
      <w:pPr>
        <w:numPr>
          <w:ilvl w:val="-1"/>
          <w:numId w:val="0"/>
        </w:numPr>
        <w:spacing w:line="240" w:lineRule="auto"/>
        <w:ind w:left="0" w:leftChars="0" w:firstLine="0" w:firstLineChars="0"/>
        <w:rPr>
          <w:rFonts w:hint="eastAsia" w:ascii="仿宋" w:hAnsi="仿宋" w:eastAsia="仿宋" w:cs="仿宋"/>
          <w:b w:val="0"/>
          <w:sz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自</w:t>
      </w:r>
      <w:r>
        <w:rPr>
          <w:rFonts w:hint="eastAsia" w:ascii="仿宋" w:hAnsi="仿宋" w:eastAsia="仿宋" w:cs="仿宋"/>
          <w:color w:val="auto"/>
          <w:sz w:val="24"/>
          <w:szCs w:val="24"/>
          <w:highlight w:val="none"/>
          <w:lang w:val="en-US" w:eastAsia="zh-CN"/>
        </w:rPr>
        <w:t>2022</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月至本项目投标截止日止（以合同签订时间为准）有</w:t>
      </w:r>
      <w:r>
        <w:rPr>
          <w:rFonts w:hint="eastAsia" w:ascii="仿宋" w:hAnsi="仿宋" w:eastAsia="仿宋" w:cs="仿宋"/>
          <w:b w:val="0"/>
          <w:color w:val="auto"/>
          <w:sz w:val="24"/>
          <w:szCs w:val="24"/>
          <w:highlight w:val="none"/>
        </w:rPr>
        <w:t>市政工程交安设施类项目业绩（即道路标线、标识标牌、护栏等设施类施工）</w:t>
      </w:r>
      <w:r>
        <w:rPr>
          <w:rFonts w:hint="eastAsia" w:ascii="仿宋" w:hAnsi="仿宋" w:eastAsia="仿宋" w:cs="仿宋"/>
          <w:b w:val="0"/>
          <w:bCs w:val="0"/>
          <w:color w:val="auto"/>
          <w:kern w:val="2"/>
          <w:sz w:val="24"/>
          <w:szCs w:val="24"/>
          <w:highlight w:val="none"/>
        </w:rPr>
        <w:t>提供合同复印件加盖投标人公章，原件备查</w:t>
      </w:r>
      <w:r>
        <w:rPr>
          <w:rFonts w:hint="eastAsia" w:ascii="仿宋" w:hAnsi="仿宋" w:eastAsia="仿宋" w:cs="仿宋"/>
          <w:b w:val="0"/>
          <w:sz w:val="24"/>
          <w:highlight w:val="none"/>
        </w:rPr>
        <w:t>。</w:t>
      </w:r>
    </w:p>
    <w:p w14:paraId="02F00B88">
      <w:pPr>
        <w:widowControl/>
        <w:spacing w:line="300" w:lineRule="exact"/>
        <w:jc w:val="left"/>
        <w:rPr>
          <w:rFonts w:hint="eastAsia" w:ascii="仿宋" w:hAnsi="仿宋" w:eastAsia="仿宋" w:cs="仿宋"/>
          <w:color w:val="auto"/>
          <w:sz w:val="24"/>
          <w:szCs w:val="24"/>
          <w:highlight w:val="none"/>
        </w:rPr>
      </w:pPr>
      <w:r>
        <w:rPr>
          <w:rFonts w:hint="eastAsia" w:ascii="仿宋" w:hAnsi="仿宋" w:eastAsia="仿宋" w:cs="仿宋"/>
          <w:b w:val="0"/>
          <w:bCs w:val="0"/>
          <w:color w:val="auto"/>
          <w:kern w:val="2"/>
          <w:sz w:val="24"/>
          <w:szCs w:val="24"/>
          <w:highlight w:val="none"/>
          <w:lang w:val="en-US" w:eastAsia="zh-CN"/>
        </w:rPr>
        <w:t>2</w:t>
      </w:r>
      <w:r>
        <w:rPr>
          <w:rFonts w:hint="eastAsia" w:ascii="仿宋" w:hAnsi="仿宋" w:eastAsia="仿宋" w:cs="仿宋"/>
          <w:b w:val="0"/>
          <w:bCs w:val="0"/>
          <w:color w:val="auto"/>
          <w:kern w:val="2"/>
          <w:sz w:val="24"/>
          <w:szCs w:val="24"/>
          <w:highlight w:val="none"/>
        </w:rPr>
        <w:t>.累计合同不超过</w:t>
      </w:r>
      <w:r>
        <w:rPr>
          <w:rFonts w:hint="eastAsia" w:ascii="仿宋" w:hAnsi="仿宋" w:eastAsia="仿宋" w:cs="仿宋"/>
          <w:b w:val="0"/>
          <w:bCs w:val="0"/>
          <w:color w:val="auto"/>
          <w:kern w:val="2"/>
          <w:sz w:val="24"/>
          <w:szCs w:val="24"/>
          <w:highlight w:val="none"/>
          <w:lang w:val="en-US" w:eastAsia="zh-CN"/>
        </w:rPr>
        <w:t>5</w:t>
      </w:r>
      <w:r>
        <w:rPr>
          <w:rFonts w:hint="eastAsia" w:ascii="仿宋" w:hAnsi="仿宋" w:eastAsia="仿宋" w:cs="仿宋"/>
          <w:b w:val="0"/>
          <w:bCs w:val="0"/>
          <w:color w:val="auto"/>
          <w:kern w:val="2"/>
          <w:sz w:val="24"/>
          <w:szCs w:val="24"/>
          <w:highlight w:val="none"/>
        </w:rPr>
        <w:t>个（含）；</w:t>
      </w:r>
    </w:p>
    <w:p w14:paraId="283D04AE">
      <w:pPr>
        <w:widowControl/>
        <w:spacing w:line="240" w:lineRule="auto"/>
        <w:jc w:val="left"/>
        <w:outlineLvl w:val="9"/>
        <w:rPr>
          <w:rFonts w:hint="eastAsia" w:ascii="仿宋" w:hAnsi="仿宋" w:eastAsia="仿宋" w:cs="仿宋"/>
          <w:b w:val="0"/>
          <w:bCs w:val="0"/>
          <w:color w:val="auto"/>
          <w:kern w:val="2"/>
          <w:sz w:val="24"/>
          <w:szCs w:val="24"/>
          <w:highlight w:val="none"/>
        </w:rPr>
      </w:pPr>
      <w:r>
        <w:rPr>
          <w:rFonts w:hint="eastAsia" w:ascii="仿宋" w:hAnsi="仿宋" w:eastAsia="仿宋" w:cs="仿宋"/>
          <w:b w:val="0"/>
          <w:bCs w:val="0"/>
          <w:color w:val="auto"/>
          <w:kern w:val="2"/>
          <w:sz w:val="24"/>
          <w:szCs w:val="24"/>
          <w:highlight w:val="none"/>
          <w:lang w:val="en-US" w:eastAsia="zh-CN"/>
        </w:rPr>
        <w:t>3</w:t>
      </w:r>
      <w:r>
        <w:rPr>
          <w:rFonts w:hint="eastAsia" w:ascii="仿宋" w:hAnsi="仿宋" w:eastAsia="仿宋" w:cs="仿宋"/>
          <w:b w:val="0"/>
          <w:bCs w:val="0"/>
          <w:color w:val="auto"/>
          <w:kern w:val="2"/>
          <w:sz w:val="24"/>
          <w:szCs w:val="24"/>
          <w:highlight w:val="none"/>
        </w:rPr>
        <w:t>.如合同不能体现金额和时间的，则需提供合同甲方出具的证明材料。</w:t>
      </w:r>
    </w:p>
    <w:p w14:paraId="1CB39C42">
      <w:pPr>
        <w:widowControl/>
        <w:jc w:val="left"/>
        <w:rPr>
          <w:szCs w:val="21"/>
          <w:highlight w:val="none"/>
        </w:rPr>
      </w:pPr>
      <w:r>
        <w:rPr>
          <w:rFonts w:hint="eastAsia" w:ascii="仿宋" w:hAnsi="仿宋" w:eastAsia="仿宋" w:cs="仿宋"/>
          <w:b w:val="0"/>
          <w:bCs w:val="0"/>
          <w:color w:val="auto"/>
          <w:kern w:val="2"/>
          <w:sz w:val="24"/>
          <w:szCs w:val="24"/>
          <w:highlight w:val="none"/>
          <w:lang w:val="en-US" w:eastAsia="zh-CN"/>
        </w:rPr>
        <w:t>4</w:t>
      </w:r>
      <w:r>
        <w:rPr>
          <w:rFonts w:hint="eastAsia" w:ascii="仿宋" w:hAnsi="仿宋" w:eastAsia="仿宋" w:cs="仿宋"/>
          <w:b w:val="0"/>
          <w:bCs w:val="0"/>
          <w:color w:val="auto"/>
          <w:kern w:val="2"/>
          <w:sz w:val="24"/>
          <w:szCs w:val="24"/>
          <w:highlight w:val="none"/>
        </w:rPr>
        <w:t>.每份合同提供至少1张不多于3张发票。</w:t>
      </w:r>
      <w:bookmarkEnd w:id="509"/>
      <w:bookmarkEnd w:id="510"/>
      <w:bookmarkEnd w:id="511"/>
      <w:bookmarkEnd w:id="512"/>
    </w:p>
    <w:p w14:paraId="36DBE20F">
      <w:pPr>
        <w:tabs>
          <w:tab w:val="left" w:pos="1418"/>
        </w:tabs>
        <w:spacing w:line="360" w:lineRule="auto"/>
        <w:rPr>
          <w:rFonts w:ascii="宋体" w:hAnsi="宋体" w:cs="宋体"/>
          <w:b/>
          <w:bCs/>
          <w:sz w:val="28"/>
          <w:szCs w:val="28"/>
          <w:highlight w:val="none"/>
        </w:rPr>
      </w:pPr>
      <w:r>
        <w:rPr>
          <w:rFonts w:hint="eastAsia" w:ascii="宋体" w:hAnsi="宋体" w:cs="宋体"/>
          <w:sz w:val="28"/>
          <w:szCs w:val="28"/>
          <w:highlight w:val="none"/>
        </w:rPr>
        <w:br w:type="page"/>
      </w:r>
    </w:p>
    <w:p w14:paraId="22A30B07">
      <w:pPr>
        <w:pStyle w:val="43"/>
        <w:ind w:left="0" w:leftChars="0" w:firstLine="0" w:firstLineChars="0"/>
        <w:jc w:val="center"/>
        <w:outlineLvl w:val="3"/>
        <w:rPr>
          <w:rFonts w:hint="eastAsia" w:ascii="宋体" w:hAnsi="宋体" w:eastAsia="黑体" w:cs="Times New Roman"/>
          <w:b w:val="0"/>
          <w:bCs/>
          <w:color w:val="auto"/>
          <w:kern w:val="2"/>
          <w:sz w:val="36"/>
          <w:szCs w:val="28"/>
          <w:highlight w:val="none"/>
          <w:lang w:val="en-US" w:eastAsia="zh-CN" w:bidi="ar-SA"/>
        </w:rPr>
      </w:pPr>
      <w:r>
        <w:rPr>
          <w:rFonts w:hint="eastAsia" w:ascii="宋体" w:hAnsi="宋体" w:eastAsia="黑体"/>
          <w:b w:val="0"/>
          <w:bCs/>
          <w:color w:val="auto"/>
          <w:sz w:val="36"/>
          <w:szCs w:val="28"/>
          <w:highlight w:val="none"/>
        </w:rPr>
        <w:t>十</w:t>
      </w:r>
      <w:r>
        <w:rPr>
          <w:rFonts w:hint="eastAsia" w:ascii="宋体" w:hAnsi="宋体" w:eastAsia="黑体"/>
          <w:b w:val="0"/>
          <w:bCs/>
          <w:color w:val="auto"/>
          <w:sz w:val="36"/>
          <w:szCs w:val="28"/>
          <w:highlight w:val="none"/>
          <w:lang w:val="en-US" w:eastAsia="zh-CN"/>
        </w:rPr>
        <w:t>五</w:t>
      </w:r>
      <w:r>
        <w:rPr>
          <w:rFonts w:hint="eastAsia" w:ascii="宋体" w:hAnsi="宋体" w:eastAsia="黑体"/>
          <w:b w:val="0"/>
          <w:bCs/>
          <w:color w:val="auto"/>
          <w:sz w:val="36"/>
          <w:szCs w:val="28"/>
          <w:highlight w:val="none"/>
        </w:rPr>
        <w:t>、</w:t>
      </w:r>
      <w:r>
        <w:rPr>
          <w:rFonts w:hint="eastAsia" w:ascii="宋体" w:hAnsi="宋体" w:eastAsia="黑体" w:cs="Times New Roman"/>
          <w:b w:val="0"/>
          <w:bCs/>
          <w:color w:val="auto"/>
          <w:kern w:val="2"/>
          <w:sz w:val="36"/>
          <w:szCs w:val="28"/>
          <w:highlight w:val="none"/>
          <w:lang w:val="en-US" w:eastAsia="zh-CN" w:bidi="ar-SA"/>
        </w:rPr>
        <w:t>履约评价情况</w:t>
      </w:r>
    </w:p>
    <w:p w14:paraId="592E08D8">
      <w:pPr>
        <w:adjustRightInd/>
        <w:snapToGrid/>
        <w:spacing w:line="360" w:lineRule="auto"/>
        <w:ind w:firstLine="480" w:firstLineChars="200"/>
        <w:rPr>
          <w:rFonts w:hint="eastAsia" w:ascii="仿宋" w:hAnsi="仿宋" w:eastAsia="仿宋" w:cs="仿宋"/>
          <w:b w:val="0"/>
          <w:bCs w:val="0"/>
          <w:color w:val="auto"/>
          <w:kern w:val="2"/>
          <w:sz w:val="24"/>
          <w:szCs w:val="24"/>
          <w:highlight w:val="none"/>
          <w:lang w:eastAsia="zh-CN"/>
        </w:rPr>
      </w:pPr>
      <w:r>
        <w:rPr>
          <w:rFonts w:hint="eastAsia" w:ascii="仿宋" w:hAnsi="仿宋" w:eastAsia="仿宋" w:cs="仿宋"/>
          <w:color w:val="auto"/>
          <w:kern w:val="2"/>
          <w:sz w:val="24"/>
          <w:szCs w:val="24"/>
          <w:highlight w:val="none"/>
        </w:rPr>
        <w:t>履约评价必须对应本评分标准中投标人业绩处提供的合同，每提供1个已完成的同类项目履约评价情况为良好（同等）或以上评价</w:t>
      </w:r>
      <w:r>
        <w:rPr>
          <w:rFonts w:hint="eastAsia" w:ascii="仿宋" w:hAnsi="仿宋" w:eastAsia="仿宋" w:cs="仿宋"/>
          <w:b w:val="0"/>
          <w:bCs w:val="0"/>
          <w:color w:val="auto"/>
          <w:kern w:val="2"/>
          <w:sz w:val="24"/>
          <w:szCs w:val="24"/>
          <w:highlight w:val="none"/>
        </w:rPr>
        <w:t>证明材料复印件加盖投标人法人公章，原件备查</w:t>
      </w:r>
      <w:r>
        <w:rPr>
          <w:rFonts w:hint="eastAsia" w:ascii="仿宋" w:hAnsi="仿宋" w:eastAsia="仿宋" w:cs="仿宋"/>
          <w:b w:val="0"/>
          <w:bCs w:val="0"/>
          <w:color w:val="auto"/>
          <w:kern w:val="2"/>
          <w:sz w:val="24"/>
          <w:szCs w:val="24"/>
          <w:highlight w:val="none"/>
          <w:lang w:eastAsia="zh-CN"/>
        </w:rPr>
        <w:t>。</w:t>
      </w:r>
    </w:p>
    <w:p w14:paraId="567F0D2C">
      <w:pPr>
        <w:pStyle w:val="2"/>
        <w:rPr>
          <w:rFonts w:hint="eastAsia"/>
          <w:highlight w:val="none"/>
          <w:lang w:eastAsia="zh-CN"/>
        </w:rPr>
      </w:pPr>
      <w:r>
        <w:rPr>
          <w:rFonts w:hint="eastAsia" w:ascii="仿宋" w:hAnsi="仿宋" w:eastAsia="仿宋" w:cs="仿宋"/>
          <w:b w:val="0"/>
          <w:bCs w:val="0"/>
          <w:color w:val="auto"/>
          <w:kern w:val="2"/>
          <w:sz w:val="24"/>
          <w:szCs w:val="24"/>
          <w:highlight w:val="none"/>
        </w:rPr>
        <w:t>注：</w:t>
      </w:r>
      <w:r>
        <w:rPr>
          <w:rFonts w:hint="eastAsia" w:ascii="仿宋" w:hAnsi="仿宋" w:eastAsia="仿宋" w:cs="仿宋"/>
          <w:color w:val="auto"/>
          <w:kern w:val="2"/>
          <w:sz w:val="24"/>
          <w:szCs w:val="24"/>
          <w:highlight w:val="none"/>
        </w:rPr>
        <w:t>同一个项目的履约评价只计一次；良好评分≥80分。</w:t>
      </w:r>
    </w:p>
    <w:p w14:paraId="0328FF98">
      <w:pPr>
        <w:rPr>
          <w:highlight w:val="none"/>
        </w:rPr>
      </w:pPr>
      <w:r>
        <w:rPr>
          <w:highlight w:val="none"/>
        </w:rPr>
        <w:br w:type="page"/>
      </w:r>
    </w:p>
    <w:p w14:paraId="505DCE4F">
      <w:pPr>
        <w:pStyle w:val="6"/>
        <w:pageBreakBefore/>
        <w:spacing w:before="0" w:line="377" w:lineRule="auto"/>
        <w:jc w:val="center"/>
        <w:rPr>
          <w:rFonts w:ascii="宋体" w:hAnsi="宋体"/>
          <w:b w:val="0"/>
          <w:sz w:val="36"/>
          <w:highlight w:val="none"/>
        </w:rPr>
      </w:pPr>
      <w:r>
        <w:rPr>
          <w:rFonts w:hint="eastAsia" w:ascii="宋体" w:hAnsi="宋体"/>
          <w:b w:val="0"/>
          <w:color w:val="auto"/>
          <w:sz w:val="36"/>
          <w:highlight w:val="none"/>
        </w:rPr>
        <w:t>十</w:t>
      </w:r>
      <w:r>
        <w:rPr>
          <w:rFonts w:hint="eastAsia" w:ascii="宋体" w:hAnsi="宋体"/>
          <w:b w:val="0"/>
          <w:color w:val="auto"/>
          <w:sz w:val="36"/>
          <w:highlight w:val="none"/>
          <w:lang w:val="en-US" w:eastAsia="zh-CN"/>
        </w:rPr>
        <w:t>六</w:t>
      </w:r>
      <w:r>
        <w:rPr>
          <w:rFonts w:hint="eastAsia" w:ascii="宋体" w:hAnsi="宋体"/>
          <w:b w:val="0"/>
          <w:color w:val="auto"/>
          <w:sz w:val="36"/>
          <w:highlight w:val="none"/>
        </w:rPr>
        <w:t>、招标文件要求的其他内容及投标人认为需要加以说明其他内容</w:t>
      </w:r>
    </w:p>
    <w:p w14:paraId="58608737">
      <w:pPr>
        <w:rPr>
          <w:highlight w:val="none"/>
        </w:rPr>
      </w:pPr>
    </w:p>
    <w:bookmarkEnd w:id="464"/>
    <w:bookmarkEnd w:id="505"/>
    <w:p w14:paraId="757C9A81">
      <w:pPr>
        <w:rPr>
          <w:highlight w:val="none"/>
        </w:rPr>
      </w:pPr>
    </w:p>
    <w:sectPr>
      <w:headerReference r:id="rId10" w:type="first"/>
      <w:headerReference r:id="rId9" w:type="defaul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11800FF-B4ED-4386-ABEE-AE40D95D5AF0}"/>
  </w:font>
  <w:font w:name="黑体">
    <w:panose1 w:val="02010609060101010101"/>
    <w:charset w:val="86"/>
    <w:family w:val="auto"/>
    <w:pitch w:val="default"/>
    <w:sig w:usb0="800002BF" w:usb1="38CF7CFA" w:usb2="00000016" w:usb3="00000000" w:csb0="00040001" w:csb1="00000000"/>
    <w:embedRegular r:id="rId2" w:fontKey="{BCF1C37E-DF8A-46D6-AF21-385CD2EFEF6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8C61304-7DB0-413E-B071-8096C4FE65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34D0B733-E55B-4A9A-B8A6-850C50E23B04}"/>
  </w:font>
  <w:font w:name="Verdana">
    <w:panose1 w:val="020B0604030504040204"/>
    <w:charset w:val="00"/>
    <w:family w:val="swiss"/>
    <w:pitch w:val="default"/>
    <w:sig w:usb0="A00006FF" w:usb1="4000205B" w:usb2="00000010" w:usb3="00000000" w:csb0="2000019F" w:csb1="00000000"/>
  </w:font>
  <w:font w:name="Century">
    <w:panose1 w:val="02040604050505020304"/>
    <w:charset w:val="00"/>
    <w:family w:val="roman"/>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方正正黑简体">
    <w:altName w:val="黑体"/>
    <w:panose1 w:val="00000000000000000000"/>
    <w:charset w:val="86"/>
    <w:family w:val="auto"/>
    <w:pitch w:val="default"/>
    <w:sig w:usb0="00000000" w:usb1="00000000" w:usb2="00000000" w:usb3="00000000" w:csb0="00040000" w:csb1="00000000"/>
  </w:font>
  <w:font w:name="??">
    <w:altName w:val="Times New Roman"/>
    <w:panose1 w:val="00000000000000000000"/>
    <w:charset w:val="01"/>
    <w:family w:val="auto"/>
    <w:pitch w:val="default"/>
    <w:sig w:usb0="00000000" w:usb1="00000000" w:usb2="00000000" w:usb3="00000000" w:csb0="00040001" w:csb1="00000000"/>
  </w:font>
  <w:font w:name="华文宋体">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幼圆">
    <w:panose1 w:val="02010509060101010101"/>
    <w:charset w:val="86"/>
    <w:family w:val="modern"/>
    <w:pitch w:val="default"/>
    <w:sig w:usb0="00000001" w:usb1="080E0000" w:usb2="00000000" w:usb3="00000000" w:csb0="00040000" w:csb1="00000000"/>
  </w:font>
  <w:font w:name="Helvetica">
    <w:panose1 w:val="020B0504020202030204"/>
    <w:charset w:val="00"/>
    <w:family w:val="swiss"/>
    <w:pitch w:val="default"/>
    <w:sig w:usb0="00000007" w:usb1="00000000" w:usb2="00000000" w:usb3="00000000" w:csb0="00000093" w:csb1="0000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ˎ̥">
    <w:altName w:val="Times New Roman"/>
    <w:panose1 w:val="00000000000000000000"/>
    <w:charset w:val="00"/>
    <w:family w:val="auto"/>
    <w:pitch w:val="default"/>
    <w:sig w:usb0="00000000" w:usb1="00000000" w:usb2="00000000" w:usb3="00000000" w:csb0="00040001" w:csb1="00000000"/>
    <w:embedRegular r:id="rId5" w:fontKey="{EC84427D-E28D-48CA-BC98-03C85D06A5E3}"/>
  </w:font>
  <w:font w:name="汉仪细等线简">
    <w:panose1 w:val="00020600040101010101"/>
    <w:charset w:val="86"/>
    <w:family w:val="modern"/>
    <w:pitch w:val="default"/>
    <w:sig w:usb0="800002BF" w:usb1="1A4F6CF8" w:usb2="00000012" w:usb3="00000000" w:csb0="0004009F" w:csb1="DFD70000"/>
  </w:font>
  <w:font w:name="仿宋">
    <w:panose1 w:val="02010609060101010101"/>
    <w:charset w:val="86"/>
    <w:family w:val="modern"/>
    <w:pitch w:val="default"/>
    <w:sig w:usb0="800002BF" w:usb1="38CF7CFA" w:usb2="00000016" w:usb3="00000000" w:csb0="00040001" w:csb1="00000000"/>
    <w:embedRegular r:id="rId6" w:fontKey="{11804101-6541-4709-92E6-91F72EFD59C1}"/>
  </w:font>
  <w:font w:name="方正小标宋简体">
    <w:panose1 w:val="03000509000000000000"/>
    <w:charset w:val="86"/>
    <w:family w:val="script"/>
    <w:pitch w:val="default"/>
    <w:sig w:usb0="00000001" w:usb1="080E0000" w:usb2="00000000" w:usb3="00000000" w:csb0="00040000" w:csb1="00000000"/>
    <w:embedRegular r:id="rId7" w:fontKey="{1D50FDD4-EF15-4759-9C9D-CEC3EFC1BCFA}"/>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3F9C9">
    <w:pPr>
      <w:pStyle w:val="2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BBA576">
                          <w:pPr>
                            <w:pStyle w:val="27"/>
                            <w:rPr>
                              <w:rStyle w:val="48"/>
                            </w:rPr>
                          </w:pPr>
                          <w:r>
                            <w:rPr>
                              <w:rStyle w:val="48"/>
                            </w:rPr>
                            <w:fldChar w:fldCharType="begin"/>
                          </w:r>
                          <w:r>
                            <w:rPr>
                              <w:rStyle w:val="48"/>
                            </w:rPr>
                            <w:instrText xml:space="preserve">PAGE  </w:instrText>
                          </w:r>
                          <w:r>
                            <w:rPr>
                              <w:rStyle w:val="48"/>
                            </w:rPr>
                            <w:fldChar w:fldCharType="separate"/>
                          </w:r>
                          <w:r>
                            <w:rPr>
                              <w:rStyle w:val="48"/>
                            </w:rPr>
                            <w:t>27</w:t>
                          </w:r>
                          <w:r>
                            <w:rPr>
                              <w:rStyle w:val="4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5FBBA576">
                    <w:pPr>
                      <w:pStyle w:val="27"/>
                      <w:rPr>
                        <w:rStyle w:val="48"/>
                      </w:rPr>
                    </w:pPr>
                    <w:r>
                      <w:rPr>
                        <w:rStyle w:val="48"/>
                      </w:rPr>
                      <w:fldChar w:fldCharType="begin"/>
                    </w:r>
                    <w:r>
                      <w:rPr>
                        <w:rStyle w:val="48"/>
                      </w:rPr>
                      <w:instrText xml:space="preserve">PAGE  </w:instrText>
                    </w:r>
                    <w:r>
                      <w:rPr>
                        <w:rStyle w:val="48"/>
                      </w:rPr>
                      <w:fldChar w:fldCharType="separate"/>
                    </w:r>
                    <w:r>
                      <w:rPr>
                        <w:rStyle w:val="48"/>
                      </w:rPr>
                      <w:t>27</w:t>
                    </w:r>
                    <w:r>
                      <w:rPr>
                        <w:rStyle w:val="48"/>
                      </w:rPr>
                      <w:fldChar w:fldCharType="end"/>
                    </w:r>
                  </w:p>
                </w:txbxContent>
              </v:textbox>
            </v:shape>
          </w:pict>
        </mc:Fallback>
      </mc:AlternateContent>
    </w:r>
  </w:p>
  <w:p w14:paraId="5161BC13"/>
  <w:p w14:paraId="69DC648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88EC2">
    <w:pPr>
      <w:pStyle w:val="2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614070">
                          <w:pPr>
                            <w:pStyle w:val="27"/>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rPr>
                            <w:t>59</w:t>
                          </w:r>
                          <w:r>
                            <w:rPr>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67614070">
                    <w:pPr>
                      <w:pStyle w:val="27"/>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rPr>
                      <w:t>59</w:t>
                    </w:r>
                    <w:r>
                      <w:rPr>
                        <w:sz w:val="20"/>
                        <w:szCs w:val="20"/>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11A1C">
    <w:pPr>
      <w:pStyle w:val="27"/>
      <w:tabs>
        <w:tab w:val="center" w:pos="4320"/>
        <w:tab w:val="right" w:pos="8640"/>
        <w:tab w:val="clear" w:pos="4153"/>
        <w:tab w:val="clear" w:pos="8306"/>
      </w:tabs>
      <w:jc w:val="both"/>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247650" cy="131445"/>
              <wp:effectExtent l="0" t="0" r="0" b="0"/>
              <wp:wrapNone/>
              <wp:docPr id="13" name="文本框 1029"/>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a:effectLst/>
                    </wps:spPr>
                    <wps:txbx>
                      <w:txbxContent>
                        <w:p w14:paraId="0B2CFBB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- 6 -</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文本框 1029" o:spid="_x0000_s1026" o:spt="202" type="#_x0000_t202" style="position:absolute;left:0pt;margin-top:0pt;height:10.35pt;width:19.5pt;mso-position-horizontal:center;mso-position-horizontal-relative:margin;mso-wrap-style:none;z-index:251666432;mso-width-relative:page;mso-height-relative:page;" filled="f" stroked="f" coordsize="21600,21600" o:gfxdata="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7FI4NAAAAADAQAADwAAAAAAAAABACAAAAAi&#10;AAAAZHJzL2Rvd25yZXYueG1sUEsBAhQAFAAAAAgAh07iQPc/WbQSAgAAFAQAAA4AAAAAAAAAAQAg&#10;AAAAHwEAAGRycy9lMm9Eb2MueG1sUEsFBgAAAAAGAAYAWQEAAKMFAAAAAA==&#10;">
              <v:fill on="f" focussize="0,0"/>
              <v:stroke on="f"/>
              <v:imagedata o:title=""/>
              <o:lock v:ext="edit" aspectratio="f"/>
              <v:textbox inset="0mm,0mm,0mm,0mm" style="mso-fit-shape-to-text:t;">
                <w:txbxContent>
                  <w:p w14:paraId="0B2CFBB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- 6 -</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F5E9E">
    <w:pPr>
      <w:pStyle w:val="27"/>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428980">
                          <w:pPr>
                            <w:pStyle w:val="27"/>
                            <w:jc w:val="center"/>
                          </w:pPr>
                          <w:r>
                            <w:fldChar w:fldCharType="begin"/>
                          </w:r>
                          <w:r>
                            <w:instrText xml:space="preserve"> PAGE   \* MERGEFORMAT </w:instrText>
                          </w:r>
                          <w:r>
                            <w:fldChar w:fldCharType="separate"/>
                          </w:r>
                          <w:r>
                            <w:rPr>
                              <w:lang w:val="zh-CN"/>
                            </w:rPr>
                            <w:t>92</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4428980">
                    <w:pPr>
                      <w:pStyle w:val="27"/>
                      <w:jc w:val="center"/>
                    </w:pPr>
                    <w:r>
                      <w:fldChar w:fldCharType="begin"/>
                    </w:r>
                    <w:r>
                      <w:instrText xml:space="preserve"> PAGE   \* MERGEFORMAT </w:instrText>
                    </w:r>
                    <w:r>
                      <w:fldChar w:fldCharType="separate"/>
                    </w:r>
                    <w:r>
                      <w:rPr>
                        <w:lang w:val="zh-CN"/>
                      </w:rPr>
                      <w:t>92</w:t>
                    </w:r>
                    <w:r>
                      <w:rPr>
                        <w:lang w:val="zh-CN"/>
                      </w:rPr>
                      <w:fldChar w:fldCharType="end"/>
                    </w:r>
                  </w:p>
                </w:txbxContent>
              </v:textbox>
            </v:shape>
          </w:pict>
        </mc:Fallback>
      </mc:AlternateContent>
    </w:r>
  </w:p>
  <w:p w14:paraId="4D21E731">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22739">
    <w:pPr>
      <w:pStyle w:val="29"/>
      <w:pBdr>
        <w:bottom w:val="none" w:color="auto" w:sz="0" w:space="1"/>
      </w:pBdr>
      <w:jc w:val="distribu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286E0">
    <w:pPr>
      <w:pStyle w:val="29"/>
    </w:pPr>
    <w:r>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7566025" cy="10699115"/>
          <wp:effectExtent l="0" t="0" r="15875" b="6985"/>
          <wp:wrapNone/>
          <wp:docPr id="14" name="WordPictureWatermark11847038" descr="招标文件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PictureWatermark11847038" descr="招标文件水印"/>
                  <pic:cNvPicPr>
                    <a:picLocks noChangeAspect="1"/>
                  </pic:cNvPicPr>
                </pic:nvPicPr>
                <pic:blipFill>
                  <a:blip r:embed="rId1"/>
                  <a:stretch>
                    <a:fillRect/>
                  </a:stretch>
                </pic:blipFill>
                <pic:spPr>
                  <a:xfrm>
                    <a:off x="0" y="0"/>
                    <a:ext cx="7566025" cy="1069911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37FFB">
    <w:pPr>
      <w:pStyle w:val="2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1ED0F">
    <w:pPr>
      <w:pStyle w:val="29"/>
      <w:pBdr>
        <w:bottom w:val="none" w:color="auto" w:sz="0" w:space="1"/>
      </w:pBdr>
      <w:jc w:val="distribu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56C3E">
    <w:pPr>
      <w:pStyle w:val="2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40DE45"/>
    <w:multiLevelType w:val="singleLevel"/>
    <w:tmpl w:val="9540DE45"/>
    <w:lvl w:ilvl="0" w:tentative="0">
      <w:start w:val="1"/>
      <w:numFmt w:val="decimal"/>
      <w:suff w:val="nothing"/>
      <w:lvlText w:val="%1、"/>
      <w:lvlJc w:val="left"/>
      <w:rPr>
        <w:rFonts w:hint="default" w:ascii="宋体" w:hAnsi="宋体" w:eastAsia="宋体" w:cs="宋体"/>
      </w:rPr>
    </w:lvl>
  </w:abstractNum>
  <w:abstractNum w:abstractNumId="1">
    <w:nsid w:val="00000025"/>
    <w:multiLevelType w:val="multilevel"/>
    <w:tmpl w:val="00000025"/>
    <w:lvl w:ilvl="0" w:tentative="0">
      <w:start w:val="3"/>
      <w:numFmt w:val="japaneseCounting"/>
      <w:pStyle w:val="15"/>
      <w:lvlText w:val="第%1条"/>
      <w:lvlJc w:val="left"/>
      <w:pPr>
        <w:tabs>
          <w:tab w:val="left" w:pos="1530"/>
        </w:tabs>
        <w:ind w:left="1530" w:hanging="1170"/>
      </w:pPr>
      <w:rPr>
        <w:rFonts w:hint="default"/>
      </w:rPr>
    </w:lvl>
    <w:lvl w:ilvl="1" w:tentative="0">
      <w:start w:val="1"/>
      <w:numFmt w:val="lowerLetter"/>
      <w:pStyle w:val="135"/>
      <w:lvlText w:val="%2)"/>
      <w:lvlJc w:val="left"/>
      <w:pPr>
        <w:tabs>
          <w:tab w:val="left" w:pos="1200"/>
        </w:tabs>
        <w:ind w:left="1200" w:hanging="420"/>
      </w:pPr>
    </w:lvl>
    <w:lvl w:ilvl="2" w:tentative="0">
      <w:start w:val="1"/>
      <w:numFmt w:val="lowerRoman"/>
      <w:pStyle w:val="134"/>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2">
    <w:nsid w:val="12503483"/>
    <w:multiLevelType w:val="multilevel"/>
    <w:tmpl w:val="12503483"/>
    <w:lvl w:ilvl="0" w:tentative="0">
      <w:start w:val="1"/>
      <w:numFmt w:val="bullet"/>
      <w:pStyle w:val="219"/>
      <w:lvlText w:val=""/>
      <w:lvlJc w:val="left"/>
      <w:pPr>
        <w:tabs>
          <w:tab w:val="left" w:pos="420"/>
        </w:tabs>
        <w:ind w:left="420" w:hanging="420"/>
      </w:pPr>
      <w:rPr>
        <w:rFonts w:hint="default" w:ascii="Wingdings" w:hAnsi="Wingdings"/>
      </w:rPr>
    </w:lvl>
    <w:lvl w:ilvl="1" w:tentative="0">
      <w:start w:val="1"/>
      <w:numFmt w:val="bullet"/>
      <w:pStyle w:val="218"/>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160D20D0"/>
    <w:multiLevelType w:val="multilevel"/>
    <w:tmpl w:val="160D20D0"/>
    <w:lvl w:ilvl="0" w:tentative="0">
      <w:start w:val="1"/>
      <w:numFmt w:val="bullet"/>
      <w:pStyle w:val="209"/>
      <w:lvlText w:val=""/>
      <w:lvlJc w:val="left"/>
      <w:pPr>
        <w:tabs>
          <w:tab w:val="left" w:pos="840"/>
        </w:tabs>
        <w:ind w:left="840" w:hanging="420"/>
      </w:pPr>
      <w:rPr>
        <w:rFonts w:hint="default" w:ascii="Wingdings" w:hAnsi="Wingdings"/>
      </w:rPr>
    </w:lvl>
    <w:lvl w:ilvl="1" w:tentative="0">
      <w:start w:val="1"/>
      <w:numFmt w:val="bullet"/>
      <w:pStyle w:val="210"/>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4">
    <w:nsid w:val="190A548B"/>
    <w:multiLevelType w:val="multilevel"/>
    <w:tmpl w:val="190A548B"/>
    <w:lvl w:ilvl="0" w:tentative="0">
      <w:start w:val="1"/>
      <w:numFmt w:val="chineseCountingThousand"/>
      <w:pStyle w:val="122"/>
      <w:lvlText w:val="第%1章"/>
      <w:lvlJc w:val="left"/>
      <w:pPr>
        <w:ind w:left="0" w:firstLine="0"/>
      </w:pPr>
      <w:rPr>
        <w:rFonts w:hint="eastAsia" w:eastAsia="宋体"/>
        <w:b/>
        <w:i w:val="0"/>
        <w:sz w:val="44"/>
      </w:rPr>
    </w:lvl>
    <w:lvl w:ilvl="1" w:tentative="0">
      <w:start w:val="1"/>
      <w:numFmt w:val="decimal"/>
      <w:pStyle w:val="123"/>
      <w:isLgl/>
      <w:suff w:val="space"/>
      <w:lvlText w:val="%1.%2"/>
      <w:lvlJc w:val="left"/>
      <w:pPr>
        <w:ind w:left="0" w:firstLine="0"/>
      </w:pPr>
      <w:rPr>
        <w:rFonts w:hint="eastAsia" w:eastAsia="宋体"/>
        <w:b/>
        <w:i w:val="0"/>
        <w:color w:val="auto"/>
        <w:sz w:val="30"/>
        <w:szCs w:val="21"/>
      </w:rPr>
    </w:lvl>
    <w:lvl w:ilvl="2" w:tentative="0">
      <w:start w:val="1"/>
      <w:numFmt w:val="decimal"/>
      <w:pStyle w:val="124"/>
      <w:isLgl/>
      <w:suff w:val="space"/>
      <w:lvlText w:val="%1.%2.%3"/>
      <w:lvlJc w:val="left"/>
      <w:pPr>
        <w:ind w:left="0" w:firstLine="0"/>
      </w:pPr>
      <w:rPr>
        <w:rFonts w:hint="eastAsia" w:eastAsia="宋体"/>
        <w:b/>
        <w:i w:val="0"/>
        <w:sz w:val="28"/>
      </w:rPr>
    </w:lvl>
    <w:lvl w:ilvl="3" w:tentative="0">
      <w:start w:val="1"/>
      <w:numFmt w:val="decimal"/>
      <w:lvlText w:val="%1.%2.%3.%4"/>
      <w:lvlJc w:val="left"/>
      <w:pPr>
        <w:tabs>
          <w:tab w:val="left" w:pos="851"/>
        </w:tabs>
        <w:ind w:left="0" w:firstLine="0"/>
      </w:pPr>
      <w:rPr>
        <w:rFonts w:hint="eastAsia"/>
      </w:rPr>
    </w:lvl>
    <w:lvl w:ilvl="4" w:tentative="0">
      <w:start w:val="1"/>
      <w:numFmt w:val="decimal"/>
      <w:lvlText w:val="%1.%2.%3.%4.%5"/>
      <w:lvlJc w:val="left"/>
      <w:pPr>
        <w:tabs>
          <w:tab w:val="left" w:pos="851"/>
        </w:tabs>
        <w:ind w:left="0" w:firstLine="0"/>
      </w:pPr>
      <w:rPr>
        <w:rFonts w:hint="eastAsia"/>
      </w:rPr>
    </w:lvl>
    <w:lvl w:ilvl="5" w:tentative="0">
      <w:start w:val="1"/>
      <w:numFmt w:val="decimal"/>
      <w:lvlText w:val="%1.%2.%3.%4.%5.%6"/>
      <w:lvlJc w:val="left"/>
      <w:pPr>
        <w:tabs>
          <w:tab w:val="left" w:pos="851"/>
        </w:tabs>
        <w:ind w:left="0" w:firstLine="0"/>
      </w:pPr>
      <w:rPr>
        <w:rFonts w:hint="eastAsia"/>
      </w:rPr>
    </w:lvl>
    <w:lvl w:ilvl="6" w:tentative="0">
      <w:start w:val="1"/>
      <w:numFmt w:val="decimal"/>
      <w:lvlText w:val="%1.%2.%3.%4.%5.%6.%7"/>
      <w:lvlJc w:val="left"/>
      <w:pPr>
        <w:tabs>
          <w:tab w:val="left" w:pos="851"/>
        </w:tabs>
        <w:ind w:left="0" w:firstLine="0"/>
      </w:pPr>
      <w:rPr>
        <w:rFonts w:hint="eastAsia"/>
      </w:rPr>
    </w:lvl>
    <w:lvl w:ilvl="7" w:tentative="0">
      <w:start w:val="1"/>
      <w:numFmt w:val="decimal"/>
      <w:lvlText w:val="%1.%2.%3.%4.%5.%6.%7.%8"/>
      <w:lvlJc w:val="left"/>
      <w:pPr>
        <w:tabs>
          <w:tab w:val="left" w:pos="851"/>
        </w:tabs>
        <w:ind w:left="0" w:firstLine="0"/>
      </w:pPr>
      <w:rPr>
        <w:rFonts w:hint="eastAsia"/>
      </w:rPr>
    </w:lvl>
    <w:lvl w:ilvl="8" w:tentative="0">
      <w:start w:val="1"/>
      <w:numFmt w:val="decimal"/>
      <w:lvlText w:val="%1.%2.%3.%4.%5.%6.%7.%8.%9"/>
      <w:lvlJc w:val="left"/>
      <w:pPr>
        <w:tabs>
          <w:tab w:val="left" w:pos="851"/>
        </w:tabs>
        <w:ind w:left="0" w:firstLine="0"/>
      </w:pPr>
      <w:rPr>
        <w:rFonts w:hint="eastAsia"/>
      </w:rPr>
    </w:lvl>
  </w:abstractNum>
  <w:abstractNum w:abstractNumId="5">
    <w:nsid w:val="2F395B7B"/>
    <w:multiLevelType w:val="multilevel"/>
    <w:tmpl w:val="2F395B7B"/>
    <w:lvl w:ilvl="0" w:tentative="0">
      <w:start w:val="1"/>
      <w:numFmt w:val="bullet"/>
      <w:pStyle w:val="275"/>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6">
    <w:nsid w:val="3146156C"/>
    <w:multiLevelType w:val="multilevel"/>
    <w:tmpl w:val="3146156C"/>
    <w:lvl w:ilvl="0" w:tentative="0">
      <w:start w:val="1"/>
      <w:numFmt w:val="decimal"/>
      <w:pStyle w:val="139"/>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333D690F"/>
    <w:multiLevelType w:val="multilevel"/>
    <w:tmpl w:val="333D690F"/>
    <w:lvl w:ilvl="0" w:tentative="0">
      <w:start w:val="1"/>
      <w:numFmt w:val="decimal"/>
      <w:pStyle w:val="137"/>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8">
    <w:nsid w:val="36F6143B"/>
    <w:multiLevelType w:val="multilevel"/>
    <w:tmpl w:val="36F6143B"/>
    <w:lvl w:ilvl="0" w:tentative="0">
      <w:start w:val="1"/>
      <w:numFmt w:val="decimal"/>
      <w:lvlText w:val="%1."/>
      <w:lvlJc w:val="left"/>
      <w:pPr>
        <w:ind w:left="786"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3B363D98"/>
    <w:multiLevelType w:val="multilevel"/>
    <w:tmpl w:val="3B363D98"/>
    <w:lvl w:ilvl="0" w:tentative="0">
      <w:start w:val="1"/>
      <w:numFmt w:val="decimal"/>
      <w:pStyle w:val="14"/>
      <w:suff w:val="space"/>
      <w:lvlText w:val="图%1."/>
      <w:lvlJc w:val="left"/>
      <w:pPr>
        <w:ind w:left="2263" w:hanging="420"/>
      </w:pPr>
      <w:rPr>
        <w:rFonts w:hint="eastAsia" w:cs="Times New Roman"/>
        <w:b w:val="0"/>
        <w:bCs w:val="0"/>
        <w:i w:val="0"/>
        <w:iCs w:val="0"/>
        <w:caps w:val="0"/>
        <w:smallCaps w:val="0"/>
        <w:strike w:val="0"/>
        <w:dstrike w:val="0"/>
        <w:vanish w:val="0"/>
        <w:color w:val="000000"/>
        <w:spacing w:val="0"/>
        <w:position w:val="0"/>
        <w:sz w:val="24"/>
        <w:szCs w:val="24"/>
        <w:u w:val="none"/>
        <w:vertAlign w:val="baseline"/>
      </w:rPr>
    </w:lvl>
    <w:lvl w:ilvl="1" w:tentative="0">
      <w:start w:val="1"/>
      <w:numFmt w:val="lowerLetter"/>
      <w:lvlText w:val="%2)"/>
      <w:lvlJc w:val="left"/>
      <w:pPr>
        <w:ind w:left="2683" w:hanging="420"/>
      </w:pPr>
    </w:lvl>
    <w:lvl w:ilvl="2" w:tentative="0">
      <w:start w:val="1"/>
      <w:numFmt w:val="lowerRoman"/>
      <w:lvlText w:val="%3."/>
      <w:lvlJc w:val="right"/>
      <w:pPr>
        <w:ind w:left="3103" w:hanging="420"/>
      </w:pPr>
    </w:lvl>
    <w:lvl w:ilvl="3" w:tentative="0">
      <w:start w:val="1"/>
      <w:numFmt w:val="decimal"/>
      <w:lvlText w:val="%4."/>
      <w:lvlJc w:val="left"/>
      <w:pPr>
        <w:ind w:left="3523" w:hanging="420"/>
      </w:pPr>
    </w:lvl>
    <w:lvl w:ilvl="4" w:tentative="0">
      <w:start w:val="1"/>
      <w:numFmt w:val="lowerLetter"/>
      <w:lvlText w:val="%5)"/>
      <w:lvlJc w:val="left"/>
      <w:pPr>
        <w:ind w:left="3943" w:hanging="420"/>
      </w:pPr>
    </w:lvl>
    <w:lvl w:ilvl="5" w:tentative="0">
      <w:start w:val="1"/>
      <w:numFmt w:val="lowerRoman"/>
      <w:lvlText w:val="%6."/>
      <w:lvlJc w:val="right"/>
      <w:pPr>
        <w:ind w:left="4363" w:hanging="420"/>
      </w:pPr>
    </w:lvl>
    <w:lvl w:ilvl="6" w:tentative="0">
      <w:start w:val="1"/>
      <w:numFmt w:val="decimal"/>
      <w:lvlText w:val="%7."/>
      <w:lvlJc w:val="left"/>
      <w:pPr>
        <w:ind w:left="4783" w:hanging="420"/>
      </w:pPr>
    </w:lvl>
    <w:lvl w:ilvl="7" w:tentative="0">
      <w:start w:val="1"/>
      <w:numFmt w:val="lowerLetter"/>
      <w:lvlText w:val="%8)"/>
      <w:lvlJc w:val="left"/>
      <w:pPr>
        <w:ind w:left="5203" w:hanging="420"/>
      </w:pPr>
    </w:lvl>
    <w:lvl w:ilvl="8" w:tentative="0">
      <w:start w:val="1"/>
      <w:numFmt w:val="lowerRoman"/>
      <w:lvlText w:val="%9."/>
      <w:lvlJc w:val="right"/>
      <w:pPr>
        <w:ind w:left="5623" w:hanging="420"/>
      </w:pPr>
    </w:lvl>
  </w:abstractNum>
  <w:abstractNum w:abstractNumId="10">
    <w:nsid w:val="3C182DDE"/>
    <w:multiLevelType w:val="multilevel"/>
    <w:tmpl w:val="3C182DDE"/>
    <w:lvl w:ilvl="0" w:tentative="0">
      <w:start w:val="1"/>
      <w:numFmt w:val="decimal"/>
      <w:pStyle w:val="127"/>
      <w:lvlText w:val="图%1"/>
      <w:lvlJc w:val="left"/>
      <w:pPr>
        <w:ind w:left="0" w:firstLine="0"/>
      </w:pPr>
      <w:rPr>
        <w:rFonts w:hint="eastAsia" w:eastAsia="华文宋体"/>
        <w:b w:val="0"/>
        <w:i w:val="0"/>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4CA75A52"/>
    <w:multiLevelType w:val="multilevel"/>
    <w:tmpl w:val="4CA75A52"/>
    <w:lvl w:ilvl="0" w:tentative="0">
      <w:start w:val="1"/>
      <w:numFmt w:val="decimal"/>
      <w:pStyle w:val="138"/>
      <w:lvlText w:val="%1)"/>
      <w:lvlJc w:val="left"/>
      <w:pPr>
        <w:ind w:left="420" w:firstLine="0"/>
      </w:pPr>
      <w:rPr>
        <w:rFonts w:hint="default" w:ascii="Verdana" w:hAnsi="Verdana"/>
        <w:b w:val="0"/>
        <w:sz w:val="24"/>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12">
    <w:nsid w:val="5BB31FB3"/>
    <w:multiLevelType w:val="multilevel"/>
    <w:tmpl w:val="5BB31FB3"/>
    <w:lvl w:ilvl="0" w:tentative="0">
      <w:start w:val="1"/>
      <w:numFmt w:val="decimal"/>
      <w:lvlText w:val="%1."/>
      <w:lvlJc w:val="left"/>
      <w:pPr>
        <w:ind w:left="786"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73548CDB"/>
    <w:multiLevelType w:val="singleLevel"/>
    <w:tmpl w:val="73548CDB"/>
    <w:lvl w:ilvl="0" w:tentative="0">
      <w:start w:val="1"/>
      <w:numFmt w:val="decimal"/>
      <w:lvlText w:val="%1."/>
      <w:lvlJc w:val="left"/>
      <w:pPr>
        <w:tabs>
          <w:tab w:val="left" w:pos="312"/>
        </w:tabs>
      </w:pPr>
    </w:lvl>
  </w:abstractNum>
  <w:num w:numId="1">
    <w:abstractNumId w:val="9"/>
  </w:num>
  <w:num w:numId="2">
    <w:abstractNumId w:val="1"/>
  </w:num>
  <w:num w:numId="3">
    <w:abstractNumId w:val="4"/>
  </w:num>
  <w:num w:numId="4">
    <w:abstractNumId w:val="10"/>
  </w:num>
  <w:num w:numId="5">
    <w:abstractNumId w:val="7"/>
  </w:num>
  <w:num w:numId="6">
    <w:abstractNumId w:val="11"/>
  </w:num>
  <w:num w:numId="7">
    <w:abstractNumId w:val="6"/>
  </w:num>
  <w:num w:numId="8">
    <w:abstractNumId w:val="3"/>
  </w:num>
  <w:num w:numId="9">
    <w:abstractNumId w:val="2"/>
  </w:num>
  <w:num w:numId="10">
    <w:abstractNumId w:val="5"/>
  </w:num>
  <w:num w:numId="11">
    <w:abstractNumId w:val="8"/>
  </w:num>
  <w:num w:numId="12">
    <w:abstractNumId w:val="0"/>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0"/>
  <w:bordersDoNotSurroundFooter w:val="0"/>
  <w:hideSpellingErrors/>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1OGRjYzNjNzg2Y2NjM2VjYzZhM2Y3OTA5MmUyNmQifQ=="/>
    <w:docVar w:name="KSO_WPS_MARK_KEY" w:val="fe5dd2d6-4d59-4c51-82da-e44387d2a21a"/>
  </w:docVars>
  <w:rsids>
    <w:rsidRoot w:val="00ED3D3C"/>
    <w:rsid w:val="000001A2"/>
    <w:rsid w:val="00000B85"/>
    <w:rsid w:val="00002117"/>
    <w:rsid w:val="00002131"/>
    <w:rsid w:val="0000255A"/>
    <w:rsid w:val="00002935"/>
    <w:rsid w:val="00010ADA"/>
    <w:rsid w:val="00010C4B"/>
    <w:rsid w:val="00010F1F"/>
    <w:rsid w:val="0001315E"/>
    <w:rsid w:val="0001588F"/>
    <w:rsid w:val="00020324"/>
    <w:rsid w:val="0002174F"/>
    <w:rsid w:val="00021756"/>
    <w:rsid w:val="0002359E"/>
    <w:rsid w:val="00023CE1"/>
    <w:rsid w:val="00024037"/>
    <w:rsid w:val="00025B68"/>
    <w:rsid w:val="00027DA9"/>
    <w:rsid w:val="000301E0"/>
    <w:rsid w:val="000323AF"/>
    <w:rsid w:val="0003727C"/>
    <w:rsid w:val="00040C02"/>
    <w:rsid w:val="00040C74"/>
    <w:rsid w:val="000411BD"/>
    <w:rsid w:val="00042F7A"/>
    <w:rsid w:val="000440D4"/>
    <w:rsid w:val="0004446C"/>
    <w:rsid w:val="00044668"/>
    <w:rsid w:val="00044B72"/>
    <w:rsid w:val="00046CA4"/>
    <w:rsid w:val="00047975"/>
    <w:rsid w:val="00053537"/>
    <w:rsid w:val="000537BC"/>
    <w:rsid w:val="00054913"/>
    <w:rsid w:val="00056085"/>
    <w:rsid w:val="00056AD1"/>
    <w:rsid w:val="00056BE7"/>
    <w:rsid w:val="00056E88"/>
    <w:rsid w:val="000573EA"/>
    <w:rsid w:val="000578ED"/>
    <w:rsid w:val="000642C0"/>
    <w:rsid w:val="00065B2C"/>
    <w:rsid w:val="0006703A"/>
    <w:rsid w:val="0006744A"/>
    <w:rsid w:val="00067F97"/>
    <w:rsid w:val="000708E1"/>
    <w:rsid w:val="000709F3"/>
    <w:rsid w:val="00072D64"/>
    <w:rsid w:val="000732FB"/>
    <w:rsid w:val="000750AE"/>
    <w:rsid w:val="0007616F"/>
    <w:rsid w:val="00081DFF"/>
    <w:rsid w:val="0008370E"/>
    <w:rsid w:val="00083F25"/>
    <w:rsid w:val="00085A25"/>
    <w:rsid w:val="00085A27"/>
    <w:rsid w:val="0008611C"/>
    <w:rsid w:val="00086826"/>
    <w:rsid w:val="00086D58"/>
    <w:rsid w:val="00087043"/>
    <w:rsid w:val="00087879"/>
    <w:rsid w:val="00092A40"/>
    <w:rsid w:val="00094D17"/>
    <w:rsid w:val="0009578A"/>
    <w:rsid w:val="00095C95"/>
    <w:rsid w:val="00096B6B"/>
    <w:rsid w:val="000A011A"/>
    <w:rsid w:val="000A2FC9"/>
    <w:rsid w:val="000A5485"/>
    <w:rsid w:val="000A60D5"/>
    <w:rsid w:val="000A6ECE"/>
    <w:rsid w:val="000B1D21"/>
    <w:rsid w:val="000B2F15"/>
    <w:rsid w:val="000B3524"/>
    <w:rsid w:val="000B3819"/>
    <w:rsid w:val="000B49E9"/>
    <w:rsid w:val="000B4E1F"/>
    <w:rsid w:val="000C29C8"/>
    <w:rsid w:val="000C3893"/>
    <w:rsid w:val="000C74DF"/>
    <w:rsid w:val="000D1BAD"/>
    <w:rsid w:val="000D203D"/>
    <w:rsid w:val="000D2153"/>
    <w:rsid w:val="000D275E"/>
    <w:rsid w:val="000D2E15"/>
    <w:rsid w:val="000D3F56"/>
    <w:rsid w:val="000D4A26"/>
    <w:rsid w:val="000D6792"/>
    <w:rsid w:val="000D6DB0"/>
    <w:rsid w:val="000D7BAE"/>
    <w:rsid w:val="000E1D9A"/>
    <w:rsid w:val="000E2079"/>
    <w:rsid w:val="000E38A1"/>
    <w:rsid w:val="000E4D81"/>
    <w:rsid w:val="000F15C7"/>
    <w:rsid w:val="000F1E07"/>
    <w:rsid w:val="000F261D"/>
    <w:rsid w:val="000F400A"/>
    <w:rsid w:val="000F45B2"/>
    <w:rsid w:val="000F4AC2"/>
    <w:rsid w:val="000F5A48"/>
    <w:rsid w:val="000F686C"/>
    <w:rsid w:val="000F713E"/>
    <w:rsid w:val="000F74F3"/>
    <w:rsid w:val="00102479"/>
    <w:rsid w:val="00103E02"/>
    <w:rsid w:val="001051CC"/>
    <w:rsid w:val="00106342"/>
    <w:rsid w:val="00106746"/>
    <w:rsid w:val="00110A2F"/>
    <w:rsid w:val="00110B4D"/>
    <w:rsid w:val="0011308B"/>
    <w:rsid w:val="00113171"/>
    <w:rsid w:val="001132F7"/>
    <w:rsid w:val="00113F47"/>
    <w:rsid w:val="00115057"/>
    <w:rsid w:val="00115E6E"/>
    <w:rsid w:val="00116455"/>
    <w:rsid w:val="00116D3E"/>
    <w:rsid w:val="00120BB4"/>
    <w:rsid w:val="001215FB"/>
    <w:rsid w:val="00122372"/>
    <w:rsid w:val="001224B1"/>
    <w:rsid w:val="00122630"/>
    <w:rsid w:val="00122F8C"/>
    <w:rsid w:val="00133D7C"/>
    <w:rsid w:val="00134020"/>
    <w:rsid w:val="0013476F"/>
    <w:rsid w:val="00137DA9"/>
    <w:rsid w:val="0014250D"/>
    <w:rsid w:val="00142EED"/>
    <w:rsid w:val="00143729"/>
    <w:rsid w:val="00144C60"/>
    <w:rsid w:val="00145FF2"/>
    <w:rsid w:val="00146200"/>
    <w:rsid w:val="00146FBA"/>
    <w:rsid w:val="001473DF"/>
    <w:rsid w:val="00150864"/>
    <w:rsid w:val="00151E9C"/>
    <w:rsid w:val="00155CFC"/>
    <w:rsid w:val="0015653F"/>
    <w:rsid w:val="00162607"/>
    <w:rsid w:val="001631B7"/>
    <w:rsid w:val="00164D8C"/>
    <w:rsid w:val="001658D3"/>
    <w:rsid w:val="00165C4C"/>
    <w:rsid w:val="00166324"/>
    <w:rsid w:val="00166F09"/>
    <w:rsid w:val="0016784D"/>
    <w:rsid w:val="001678FB"/>
    <w:rsid w:val="00167A87"/>
    <w:rsid w:val="001703F1"/>
    <w:rsid w:val="00170E86"/>
    <w:rsid w:val="001710AF"/>
    <w:rsid w:val="00171D1D"/>
    <w:rsid w:val="0017204E"/>
    <w:rsid w:val="00172774"/>
    <w:rsid w:val="001734F6"/>
    <w:rsid w:val="00173D93"/>
    <w:rsid w:val="00173F6F"/>
    <w:rsid w:val="001742CA"/>
    <w:rsid w:val="00174633"/>
    <w:rsid w:val="00174715"/>
    <w:rsid w:val="00180760"/>
    <w:rsid w:val="00180911"/>
    <w:rsid w:val="00180B90"/>
    <w:rsid w:val="00182BD4"/>
    <w:rsid w:val="001840F2"/>
    <w:rsid w:val="00190C10"/>
    <w:rsid w:val="00191DAD"/>
    <w:rsid w:val="00193EDF"/>
    <w:rsid w:val="00196320"/>
    <w:rsid w:val="00196340"/>
    <w:rsid w:val="00196397"/>
    <w:rsid w:val="001A2C2B"/>
    <w:rsid w:val="001A2EB0"/>
    <w:rsid w:val="001A3238"/>
    <w:rsid w:val="001A47FE"/>
    <w:rsid w:val="001A6817"/>
    <w:rsid w:val="001B01AF"/>
    <w:rsid w:val="001B0990"/>
    <w:rsid w:val="001B320B"/>
    <w:rsid w:val="001B5F6B"/>
    <w:rsid w:val="001B61C5"/>
    <w:rsid w:val="001C022B"/>
    <w:rsid w:val="001C0BB2"/>
    <w:rsid w:val="001C1CAB"/>
    <w:rsid w:val="001C464C"/>
    <w:rsid w:val="001C4AF2"/>
    <w:rsid w:val="001C582A"/>
    <w:rsid w:val="001D0CF8"/>
    <w:rsid w:val="001D1001"/>
    <w:rsid w:val="001D19A0"/>
    <w:rsid w:val="001D1B3A"/>
    <w:rsid w:val="001D2BC3"/>
    <w:rsid w:val="001D2CD3"/>
    <w:rsid w:val="001D4E3B"/>
    <w:rsid w:val="001D68EC"/>
    <w:rsid w:val="001E3063"/>
    <w:rsid w:val="001E4DC1"/>
    <w:rsid w:val="001E72E3"/>
    <w:rsid w:val="001E7538"/>
    <w:rsid w:val="001F00D4"/>
    <w:rsid w:val="001F0451"/>
    <w:rsid w:val="001F4169"/>
    <w:rsid w:val="001F4F8E"/>
    <w:rsid w:val="001F54A0"/>
    <w:rsid w:val="001F6371"/>
    <w:rsid w:val="001F6388"/>
    <w:rsid w:val="001F6B5A"/>
    <w:rsid w:val="001F7AED"/>
    <w:rsid w:val="001F7B5C"/>
    <w:rsid w:val="00201DA6"/>
    <w:rsid w:val="00202688"/>
    <w:rsid w:val="00202A1F"/>
    <w:rsid w:val="00202CC3"/>
    <w:rsid w:val="002034A8"/>
    <w:rsid w:val="0020594E"/>
    <w:rsid w:val="00210624"/>
    <w:rsid w:val="00214D32"/>
    <w:rsid w:val="0021616F"/>
    <w:rsid w:val="00216C09"/>
    <w:rsid w:val="002175AB"/>
    <w:rsid w:val="00221C82"/>
    <w:rsid w:val="00222BAC"/>
    <w:rsid w:val="00224E26"/>
    <w:rsid w:val="002255B0"/>
    <w:rsid w:val="00225994"/>
    <w:rsid w:val="002314F7"/>
    <w:rsid w:val="002334FD"/>
    <w:rsid w:val="0023371F"/>
    <w:rsid w:val="0023376A"/>
    <w:rsid w:val="002341D8"/>
    <w:rsid w:val="00236CF8"/>
    <w:rsid w:val="00237755"/>
    <w:rsid w:val="002418EB"/>
    <w:rsid w:val="00245A8F"/>
    <w:rsid w:val="00245E65"/>
    <w:rsid w:val="00250545"/>
    <w:rsid w:val="00250CB7"/>
    <w:rsid w:val="0025146A"/>
    <w:rsid w:val="00251A81"/>
    <w:rsid w:val="002549B5"/>
    <w:rsid w:val="002562B6"/>
    <w:rsid w:val="00256B46"/>
    <w:rsid w:val="00261102"/>
    <w:rsid w:val="002615E8"/>
    <w:rsid w:val="00261733"/>
    <w:rsid w:val="00265F29"/>
    <w:rsid w:val="0026656A"/>
    <w:rsid w:val="002671D8"/>
    <w:rsid w:val="002709C8"/>
    <w:rsid w:val="00270C9A"/>
    <w:rsid w:val="00270DAE"/>
    <w:rsid w:val="00271A5A"/>
    <w:rsid w:val="002736EA"/>
    <w:rsid w:val="00273905"/>
    <w:rsid w:val="00274769"/>
    <w:rsid w:val="00275302"/>
    <w:rsid w:val="002754DA"/>
    <w:rsid w:val="00276811"/>
    <w:rsid w:val="002769CA"/>
    <w:rsid w:val="002769DE"/>
    <w:rsid w:val="00277334"/>
    <w:rsid w:val="00280D8F"/>
    <w:rsid w:val="00281326"/>
    <w:rsid w:val="00282DBB"/>
    <w:rsid w:val="00290E3D"/>
    <w:rsid w:val="002927A3"/>
    <w:rsid w:val="00292E27"/>
    <w:rsid w:val="002933FC"/>
    <w:rsid w:val="0029603E"/>
    <w:rsid w:val="002964B9"/>
    <w:rsid w:val="00296C0F"/>
    <w:rsid w:val="002A0711"/>
    <w:rsid w:val="002A0820"/>
    <w:rsid w:val="002A1068"/>
    <w:rsid w:val="002A29D1"/>
    <w:rsid w:val="002A37E0"/>
    <w:rsid w:val="002A586B"/>
    <w:rsid w:val="002A687F"/>
    <w:rsid w:val="002B0D74"/>
    <w:rsid w:val="002B0DB2"/>
    <w:rsid w:val="002B573D"/>
    <w:rsid w:val="002B5C8E"/>
    <w:rsid w:val="002B669A"/>
    <w:rsid w:val="002B6FD5"/>
    <w:rsid w:val="002B70C8"/>
    <w:rsid w:val="002C07F0"/>
    <w:rsid w:val="002C1FF0"/>
    <w:rsid w:val="002C4DED"/>
    <w:rsid w:val="002D2F3A"/>
    <w:rsid w:val="002D352D"/>
    <w:rsid w:val="002D5694"/>
    <w:rsid w:val="002D6F6F"/>
    <w:rsid w:val="002E0A4E"/>
    <w:rsid w:val="002E50A3"/>
    <w:rsid w:val="002E7A1D"/>
    <w:rsid w:val="002E7E5A"/>
    <w:rsid w:val="002F08A2"/>
    <w:rsid w:val="002F203D"/>
    <w:rsid w:val="002F28FA"/>
    <w:rsid w:val="002F5CBB"/>
    <w:rsid w:val="00301D79"/>
    <w:rsid w:val="00303063"/>
    <w:rsid w:val="00304864"/>
    <w:rsid w:val="00305297"/>
    <w:rsid w:val="00306813"/>
    <w:rsid w:val="0030686C"/>
    <w:rsid w:val="0030714E"/>
    <w:rsid w:val="00310260"/>
    <w:rsid w:val="0031043D"/>
    <w:rsid w:val="00310604"/>
    <w:rsid w:val="00310D8D"/>
    <w:rsid w:val="00312390"/>
    <w:rsid w:val="00314920"/>
    <w:rsid w:val="00315123"/>
    <w:rsid w:val="00315C43"/>
    <w:rsid w:val="00317368"/>
    <w:rsid w:val="00317674"/>
    <w:rsid w:val="00317BA8"/>
    <w:rsid w:val="00322495"/>
    <w:rsid w:val="00322905"/>
    <w:rsid w:val="00323597"/>
    <w:rsid w:val="00324360"/>
    <w:rsid w:val="00324BAE"/>
    <w:rsid w:val="0032633F"/>
    <w:rsid w:val="00326347"/>
    <w:rsid w:val="00326934"/>
    <w:rsid w:val="00327449"/>
    <w:rsid w:val="003275ED"/>
    <w:rsid w:val="00334A6D"/>
    <w:rsid w:val="003353A9"/>
    <w:rsid w:val="00336232"/>
    <w:rsid w:val="0034103B"/>
    <w:rsid w:val="00347F69"/>
    <w:rsid w:val="00352211"/>
    <w:rsid w:val="00355C77"/>
    <w:rsid w:val="00362B53"/>
    <w:rsid w:val="00362E8C"/>
    <w:rsid w:val="003712A3"/>
    <w:rsid w:val="00371A94"/>
    <w:rsid w:val="00372B5F"/>
    <w:rsid w:val="00373AA2"/>
    <w:rsid w:val="00374E8E"/>
    <w:rsid w:val="003776C2"/>
    <w:rsid w:val="00382B3E"/>
    <w:rsid w:val="00385EB8"/>
    <w:rsid w:val="00386149"/>
    <w:rsid w:val="00387505"/>
    <w:rsid w:val="00391579"/>
    <w:rsid w:val="0039173A"/>
    <w:rsid w:val="00394BB4"/>
    <w:rsid w:val="003954F3"/>
    <w:rsid w:val="003959E1"/>
    <w:rsid w:val="003961F5"/>
    <w:rsid w:val="00397E58"/>
    <w:rsid w:val="003A2D3B"/>
    <w:rsid w:val="003A65EC"/>
    <w:rsid w:val="003B1EDF"/>
    <w:rsid w:val="003B585A"/>
    <w:rsid w:val="003B64B7"/>
    <w:rsid w:val="003B7E92"/>
    <w:rsid w:val="003C468D"/>
    <w:rsid w:val="003C5CBE"/>
    <w:rsid w:val="003D2D31"/>
    <w:rsid w:val="003D535C"/>
    <w:rsid w:val="003D7F61"/>
    <w:rsid w:val="003E5421"/>
    <w:rsid w:val="003E612C"/>
    <w:rsid w:val="003E64F8"/>
    <w:rsid w:val="003E79F1"/>
    <w:rsid w:val="003F02A1"/>
    <w:rsid w:val="003F03CD"/>
    <w:rsid w:val="003F1B53"/>
    <w:rsid w:val="003F4044"/>
    <w:rsid w:val="003F48A5"/>
    <w:rsid w:val="003F5B3B"/>
    <w:rsid w:val="003F5F53"/>
    <w:rsid w:val="00401F97"/>
    <w:rsid w:val="004026A6"/>
    <w:rsid w:val="00403C47"/>
    <w:rsid w:val="004103A8"/>
    <w:rsid w:val="004120E9"/>
    <w:rsid w:val="00412301"/>
    <w:rsid w:val="00413B62"/>
    <w:rsid w:val="0041432B"/>
    <w:rsid w:val="004147DA"/>
    <w:rsid w:val="00415B55"/>
    <w:rsid w:val="00416139"/>
    <w:rsid w:val="0042055E"/>
    <w:rsid w:val="00420ECC"/>
    <w:rsid w:val="004235A2"/>
    <w:rsid w:val="0042403C"/>
    <w:rsid w:val="00424551"/>
    <w:rsid w:val="00425509"/>
    <w:rsid w:val="00425ACA"/>
    <w:rsid w:val="004271F2"/>
    <w:rsid w:val="0043331A"/>
    <w:rsid w:val="00433EAF"/>
    <w:rsid w:val="00434228"/>
    <w:rsid w:val="0044114A"/>
    <w:rsid w:val="00442041"/>
    <w:rsid w:val="00442190"/>
    <w:rsid w:val="00446E5C"/>
    <w:rsid w:val="0044701B"/>
    <w:rsid w:val="00447B0D"/>
    <w:rsid w:val="00450F54"/>
    <w:rsid w:val="0045438C"/>
    <w:rsid w:val="004558D4"/>
    <w:rsid w:val="00456D89"/>
    <w:rsid w:val="0046124D"/>
    <w:rsid w:val="004625D8"/>
    <w:rsid w:val="004633DA"/>
    <w:rsid w:val="00464694"/>
    <w:rsid w:val="00465E70"/>
    <w:rsid w:val="004661AE"/>
    <w:rsid w:val="00466C86"/>
    <w:rsid w:val="00467244"/>
    <w:rsid w:val="00470F3B"/>
    <w:rsid w:val="0047130D"/>
    <w:rsid w:val="00471968"/>
    <w:rsid w:val="00475156"/>
    <w:rsid w:val="0048017C"/>
    <w:rsid w:val="004825D7"/>
    <w:rsid w:val="00482F05"/>
    <w:rsid w:val="004857D4"/>
    <w:rsid w:val="00485876"/>
    <w:rsid w:val="00485C45"/>
    <w:rsid w:val="004870B1"/>
    <w:rsid w:val="00490092"/>
    <w:rsid w:val="004920DA"/>
    <w:rsid w:val="00492618"/>
    <w:rsid w:val="004929B4"/>
    <w:rsid w:val="004935C3"/>
    <w:rsid w:val="00493CDB"/>
    <w:rsid w:val="00494325"/>
    <w:rsid w:val="004948CD"/>
    <w:rsid w:val="00494D17"/>
    <w:rsid w:val="00495020"/>
    <w:rsid w:val="004952F1"/>
    <w:rsid w:val="004A0D0D"/>
    <w:rsid w:val="004A0FE6"/>
    <w:rsid w:val="004A10CE"/>
    <w:rsid w:val="004A299A"/>
    <w:rsid w:val="004A3467"/>
    <w:rsid w:val="004A3CD8"/>
    <w:rsid w:val="004A4BDB"/>
    <w:rsid w:val="004A6272"/>
    <w:rsid w:val="004A6ABA"/>
    <w:rsid w:val="004B0760"/>
    <w:rsid w:val="004B3D0A"/>
    <w:rsid w:val="004B5945"/>
    <w:rsid w:val="004B7512"/>
    <w:rsid w:val="004C110D"/>
    <w:rsid w:val="004C1DC0"/>
    <w:rsid w:val="004C2EA4"/>
    <w:rsid w:val="004C32F6"/>
    <w:rsid w:val="004C34BF"/>
    <w:rsid w:val="004C5261"/>
    <w:rsid w:val="004C5C9B"/>
    <w:rsid w:val="004C6694"/>
    <w:rsid w:val="004C7A1D"/>
    <w:rsid w:val="004D23FC"/>
    <w:rsid w:val="004D2EC0"/>
    <w:rsid w:val="004D3D19"/>
    <w:rsid w:val="004D4EAD"/>
    <w:rsid w:val="004D6AAF"/>
    <w:rsid w:val="004E0644"/>
    <w:rsid w:val="004E25E1"/>
    <w:rsid w:val="004E26F4"/>
    <w:rsid w:val="004E3127"/>
    <w:rsid w:val="004E37C5"/>
    <w:rsid w:val="004E3C20"/>
    <w:rsid w:val="004E51A9"/>
    <w:rsid w:val="004E5FD8"/>
    <w:rsid w:val="004F0297"/>
    <w:rsid w:val="004F1A59"/>
    <w:rsid w:val="004F32F6"/>
    <w:rsid w:val="004F4223"/>
    <w:rsid w:val="004F5B89"/>
    <w:rsid w:val="004F6020"/>
    <w:rsid w:val="00500435"/>
    <w:rsid w:val="00500879"/>
    <w:rsid w:val="005024CB"/>
    <w:rsid w:val="00503FF8"/>
    <w:rsid w:val="00504805"/>
    <w:rsid w:val="005049E6"/>
    <w:rsid w:val="00504D85"/>
    <w:rsid w:val="00505568"/>
    <w:rsid w:val="00505B33"/>
    <w:rsid w:val="0050631C"/>
    <w:rsid w:val="005110B2"/>
    <w:rsid w:val="00512C5B"/>
    <w:rsid w:val="00513EAE"/>
    <w:rsid w:val="005178CC"/>
    <w:rsid w:val="00517F50"/>
    <w:rsid w:val="00521DDE"/>
    <w:rsid w:val="00522E9B"/>
    <w:rsid w:val="00523837"/>
    <w:rsid w:val="00526EDB"/>
    <w:rsid w:val="005304DA"/>
    <w:rsid w:val="00531203"/>
    <w:rsid w:val="0053137C"/>
    <w:rsid w:val="00532017"/>
    <w:rsid w:val="00533886"/>
    <w:rsid w:val="005358D0"/>
    <w:rsid w:val="00536D3F"/>
    <w:rsid w:val="00543374"/>
    <w:rsid w:val="0054382E"/>
    <w:rsid w:val="005439CB"/>
    <w:rsid w:val="0054477D"/>
    <w:rsid w:val="005448B3"/>
    <w:rsid w:val="00544E68"/>
    <w:rsid w:val="005452C9"/>
    <w:rsid w:val="00545336"/>
    <w:rsid w:val="0054720C"/>
    <w:rsid w:val="00552DD9"/>
    <w:rsid w:val="00552ECD"/>
    <w:rsid w:val="00553C83"/>
    <w:rsid w:val="00553FCC"/>
    <w:rsid w:val="00554C44"/>
    <w:rsid w:val="005576AB"/>
    <w:rsid w:val="00562D4C"/>
    <w:rsid w:val="005630A2"/>
    <w:rsid w:val="005639AD"/>
    <w:rsid w:val="0056611B"/>
    <w:rsid w:val="00570254"/>
    <w:rsid w:val="00572809"/>
    <w:rsid w:val="00574A7D"/>
    <w:rsid w:val="00575EC8"/>
    <w:rsid w:val="00575EEB"/>
    <w:rsid w:val="00583208"/>
    <w:rsid w:val="005839FA"/>
    <w:rsid w:val="00585023"/>
    <w:rsid w:val="005866EE"/>
    <w:rsid w:val="00587E2C"/>
    <w:rsid w:val="00587E2F"/>
    <w:rsid w:val="0059002A"/>
    <w:rsid w:val="00592425"/>
    <w:rsid w:val="005931F7"/>
    <w:rsid w:val="00593D7E"/>
    <w:rsid w:val="00594560"/>
    <w:rsid w:val="0059611E"/>
    <w:rsid w:val="00597B44"/>
    <w:rsid w:val="00597B9A"/>
    <w:rsid w:val="005A29A0"/>
    <w:rsid w:val="005A2C1B"/>
    <w:rsid w:val="005A3C49"/>
    <w:rsid w:val="005A77EA"/>
    <w:rsid w:val="005B0EAF"/>
    <w:rsid w:val="005B14CA"/>
    <w:rsid w:val="005B2544"/>
    <w:rsid w:val="005B3CD4"/>
    <w:rsid w:val="005B3DF2"/>
    <w:rsid w:val="005B40A2"/>
    <w:rsid w:val="005B4140"/>
    <w:rsid w:val="005B5A1D"/>
    <w:rsid w:val="005B5A62"/>
    <w:rsid w:val="005B67ED"/>
    <w:rsid w:val="005C008D"/>
    <w:rsid w:val="005C0BFB"/>
    <w:rsid w:val="005C28EA"/>
    <w:rsid w:val="005C5336"/>
    <w:rsid w:val="005D08AD"/>
    <w:rsid w:val="005D09A0"/>
    <w:rsid w:val="005D1FA6"/>
    <w:rsid w:val="005D2129"/>
    <w:rsid w:val="005D7F2C"/>
    <w:rsid w:val="005E0C30"/>
    <w:rsid w:val="005E1D31"/>
    <w:rsid w:val="005E2307"/>
    <w:rsid w:val="005E2430"/>
    <w:rsid w:val="005E4B22"/>
    <w:rsid w:val="005E5FD4"/>
    <w:rsid w:val="005E6864"/>
    <w:rsid w:val="005F2044"/>
    <w:rsid w:val="005F2598"/>
    <w:rsid w:val="005F3FB3"/>
    <w:rsid w:val="005F3FE7"/>
    <w:rsid w:val="005F5F1A"/>
    <w:rsid w:val="005F6395"/>
    <w:rsid w:val="005F779F"/>
    <w:rsid w:val="005F789B"/>
    <w:rsid w:val="006004A8"/>
    <w:rsid w:val="00600D2A"/>
    <w:rsid w:val="00601C11"/>
    <w:rsid w:val="00605E6D"/>
    <w:rsid w:val="0060603A"/>
    <w:rsid w:val="006104CE"/>
    <w:rsid w:val="00610E90"/>
    <w:rsid w:val="0061266A"/>
    <w:rsid w:val="00612925"/>
    <w:rsid w:val="00613134"/>
    <w:rsid w:val="00617243"/>
    <w:rsid w:val="0062084E"/>
    <w:rsid w:val="00622132"/>
    <w:rsid w:val="00624A01"/>
    <w:rsid w:val="006262CF"/>
    <w:rsid w:val="0062665B"/>
    <w:rsid w:val="006304A1"/>
    <w:rsid w:val="00637C92"/>
    <w:rsid w:val="00640933"/>
    <w:rsid w:val="00640ED1"/>
    <w:rsid w:val="00641631"/>
    <w:rsid w:val="0064167C"/>
    <w:rsid w:val="00641D6F"/>
    <w:rsid w:val="006420A3"/>
    <w:rsid w:val="00643831"/>
    <w:rsid w:val="006439C7"/>
    <w:rsid w:val="00644A8A"/>
    <w:rsid w:val="00646941"/>
    <w:rsid w:val="00653C2B"/>
    <w:rsid w:val="00653C9B"/>
    <w:rsid w:val="00653D71"/>
    <w:rsid w:val="0065402B"/>
    <w:rsid w:val="00654F02"/>
    <w:rsid w:val="00656163"/>
    <w:rsid w:val="00657AE7"/>
    <w:rsid w:val="0066016E"/>
    <w:rsid w:val="006608C2"/>
    <w:rsid w:val="00661778"/>
    <w:rsid w:val="00661F8A"/>
    <w:rsid w:val="00661FF1"/>
    <w:rsid w:val="006645C7"/>
    <w:rsid w:val="00665FB8"/>
    <w:rsid w:val="0066640F"/>
    <w:rsid w:val="006715AA"/>
    <w:rsid w:val="0067692D"/>
    <w:rsid w:val="00682D57"/>
    <w:rsid w:val="00683AC5"/>
    <w:rsid w:val="006856B4"/>
    <w:rsid w:val="00685A2A"/>
    <w:rsid w:val="00686866"/>
    <w:rsid w:val="00686C31"/>
    <w:rsid w:val="006878FA"/>
    <w:rsid w:val="00690F98"/>
    <w:rsid w:val="006914F2"/>
    <w:rsid w:val="00692B31"/>
    <w:rsid w:val="00697BE5"/>
    <w:rsid w:val="00697DC5"/>
    <w:rsid w:val="006A00CE"/>
    <w:rsid w:val="006A1651"/>
    <w:rsid w:val="006A20C3"/>
    <w:rsid w:val="006A2F9F"/>
    <w:rsid w:val="006A304A"/>
    <w:rsid w:val="006A6991"/>
    <w:rsid w:val="006A7DF3"/>
    <w:rsid w:val="006B0BC7"/>
    <w:rsid w:val="006B20BC"/>
    <w:rsid w:val="006B25FA"/>
    <w:rsid w:val="006B2F4F"/>
    <w:rsid w:val="006B4871"/>
    <w:rsid w:val="006B680E"/>
    <w:rsid w:val="006B6912"/>
    <w:rsid w:val="006C1292"/>
    <w:rsid w:val="006C468F"/>
    <w:rsid w:val="006D0E35"/>
    <w:rsid w:val="006D1975"/>
    <w:rsid w:val="006D5E60"/>
    <w:rsid w:val="006D65CA"/>
    <w:rsid w:val="006E04A8"/>
    <w:rsid w:val="006E55F3"/>
    <w:rsid w:val="006F1D50"/>
    <w:rsid w:val="006F3144"/>
    <w:rsid w:val="006F324F"/>
    <w:rsid w:val="006F38A2"/>
    <w:rsid w:val="006F3DB4"/>
    <w:rsid w:val="006F5D87"/>
    <w:rsid w:val="006F7BFF"/>
    <w:rsid w:val="006F7C29"/>
    <w:rsid w:val="00700172"/>
    <w:rsid w:val="00701355"/>
    <w:rsid w:val="00702E13"/>
    <w:rsid w:val="00703F66"/>
    <w:rsid w:val="007078B1"/>
    <w:rsid w:val="0071024F"/>
    <w:rsid w:val="007121E8"/>
    <w:rsid w:val="0071299D"/>
    <w:rsid w:val="0071501C"/>
    <w:rsid w:val="007152B7"/>
    <w:rsid w:val="00716586"/>
    <w:rsid w:val="007173C7"/>
    <w:rsid w:val="00720159"/>
    <w:rsid w:val="007238A3"/>
    <w:rsid w:val="007251C8"/>
    <w:rsid w:val="007256D6"/>
    <w:rsid w:val="00726E01"/>
    <w:rsid w:val="00731AF0"/>
    <w:rsid w:val="0073306A"/>
    <w:rsid w:val="00733F72"/>
    <w:rsid w:val="00734BF6"/>
    <w:rsid w:val="00735A19"/>
    <w:rsid w:val="007374B0"/>
    <w:rsid w:val="00740FB5"/>
    <w:rsid w:val="00741913"/>
    <w:rsid w:val="00742FE9"/>
    <w:rsid w:val="0074476A"/>
    <w:rsid w:val="007453AC"/>
    <w:rsid w:val="0074636C"/>
    <w:rsid w:val="0074663B"/>
    <w:rsid w:val="00751580"/>
    <w:rsid w:val="00753E2C"/>
    <w:rsid w:val="007541FE"/>
    <w:rsid w:val="007556E3"/>
    <w:rsid w:val="0075656E"/>
    <w:rsid w:val="0075761C"/>
    <w:rsid w:val="00760027"/>
    <w:rsid w:val="00760463"/>
    <w:rsid w:val="00761D7E"/>
    <w:rsid w:val="007622D5"/>
    <w:rsid w:val="00767FE4"/>
    <w:rsid w:val="0077056B"/>
    <w:rsid w:val="007751F8"/>
    <w:rsid w:val="00775859"/>
    <w:rsid w:val="00775E6F"/>
    <w:rsid w:val="00776DFF"/>
    <w:rsid w:val="007778EE"/>
    <w:rsid w:val="007803FF"/>
    <w:rsid w:val="00783133"/>
    <w:rsid w:val="0078480A"/>
    <w:rsid w:val="007865D6"/>
    <w:rsid w:val="00787693"/>
    <w:rsid w:val="007902B8"/>
    <w:rsid w:val="00791846"/>
    <w:rsid w:val="00792409"/>
    <w:rsid w:val="00797CB0"/>
    <w:rsid w:val="007A0A25"/>
    <w:rsid w:val="007A1E4D"/>
    <w:rsid w:val="007A2807"/>
    <w:rsid w:val="007A3B66"/>
    <w:rsid w:val="007A3F13"/>
    <w:rsid w:val="007A663D"/>
    <w:rsid w:val="007B0619"/>
    <w:rsid w:val="007B1C5C"/>
    <w:rsid w:val="007B27BF"/>
    <w:rsid w:val="007B3223"/>
    <w:rsid w:val="007B5559"/>
    <w:rsid w:val="007B6E5C"/>
    <w:rsid w:val="007C01AF"/>
    <w:rsid w:val="007C1144"/>
    <w:rsid w:val="007C1498"/>
    <w:rsid w:val="007C24EA"/>
    <w:rsid w:val="007C3442"/>
    <w:rsid w:val="007C6B7B"/>
    <w:rsid w:val="007D0898"/>
    <w:rsid w:val="007D0A87"/>
    <w:rsid w:val="007D0DFB"/>
    <w:rsid w:val="007D16E9"/>
    <w:rsid w:val="007D2DFA"/>
    <w:rsid w:val="007D41A6"/>
    <w:rsid w:val="007D434C"/>
    <w:rsid w:val="007D4A5E"/>
    <w:rsid w:val="007D4B10"/>
    <w:rsid w:val="007E0857"/>
    <w:rsid w:val="007E0FFC"/>
    <w:rsid w:val="007E3022"/>
    <w:rsid w:val="007E4C74"/>
    <w:rsid w:val="007E5954"/>
    <w:rsid w:val="007E5C9A"/>
    <w:rsid w:val="007F0775"/>
    <w:rsid w:val="007F0BDA"/>
    <w:rsid w:val="007F0C0C"/>
    <w:rsid w:val="007F2B82"/>
    <w:rsid w:val="007F5983"/>
    <w:rsid w:val="007F62B0"/>
    <w:rsid w:val="007F67E4"/>
    <w:rsid w:val="007F7EEB"/>
    <w:rsid w:val="0080092D"/>
    <w:rsid w:val="008009D6"/>
    <w:rsid w:val="0080291B"/>
    <w:rsid w:val="00802DA0"/>
    <w:rsid w:val="008037D6"/>
    <w:rsid w:val="00803DC5"/>
    <w:rsid w:val="00803EA8"/>
    <w:rsid w:val="00803EE8"/>
    <w:rsid w:val="008057CC"/>
    <w:rsid w:val="00805EB9"/>
    <w:rsid w:val="00806FB1"/>
    <w:rsid w:val="0080738B"/>
    <w:rsid w:val="00807D3D"/>
    <w:rsid w:val="00810DB7"/>
    <w:rsid w:val="00811048"/>
    <w:rsid w:val="0081188E"/>
    <w:rsid w:val="008139F1"/>
    <w:rsid w:val="008147BA"/>
    <w:rsid w:val="008153D9"/>
    <w:rsid w:val="008154CB"/>
    <w:rsid w:val="0081721E"/>
    <w:rsid w:val="008264C2"/>
    <w:rsid w:val="008266EC"/>
    <w:rsid w:val="008303C0"/>
    <w:rsid w:val="0083115A"/>
    <w:rsid w:val="00831B9C"/>
    <w:rsid w:val="008339E1"/>
    <w:rsid w:val="00833BD6"/>
    <w:rsid w:val="008347AD"/>
    <w:rsid w:val="00836D54"/>
    <w:rsid w:val="00837C8C"/>
    <w:rsid w:val="00837F78"/>
    <w:rsid w:val="0084209D"/>
    <w:rsid w:val="00842561"/>
    <w:rsid w:val="0084664B"/>
    <w:rsid w:val="00846880"/>
    <w:rsid w:val="00850B3B"/>
    <w:rsid w:val="008524EE"/>
    <w:rsid w:val="00853739"/>
    <w:rsid w:val="0085398E"/>
    <w:rsid w:val="008547B8"/>
    <w:rsid w:val="00856187"/>
    <w:rsid w:val="00857053"/>
    <w:rsid w:val="008575CD"/>
    <w:rsid w:val="008577A4"/>
    <w:rsid w:val="008606A4"/>
    <w:rsid w:val="008627F3"/>
    <w:rsid w:val="00863CFB"/>
    <w:rsid w:val="00864FAE"/>
    <w:rsid w:val="008652E4"/>
    <w:rsid w:val="00865BB8"/>
    <w:rsid w:val="00865F16"/>
    <w:rsid w:val="00867A23"/>
    <w:rsid w:val="00867FB7"/>
    <w:rsid w:val="00875065"/>
    <w:rsid w:val="0087518C"/>
    <w:rsid w:val="00875BAB"/>
    <w:rsid w:val="00876762"/>
    <w:rsid w:val="0087730D"/>
    <w:rsid w:val="008775AD"/>
    <w:rsid w:val="00877849"/>
    <w:rsid w:val="00885179"/>
    <w:rsid w:val="008854A1"/>
    <w:rsid w:val="00886CCC"/>
    <w:rsid w:val="00887379"/>
    <w:rsid w:val="00887B36"/>
    <w:rsid w:val="00890AEA"/>
    <w:rsid w:val="008969E7"/>
    <w:rsid w:val="008A0E8D"/>
    <w:rsid w:val="008A0F3D"/>
    <w:rsid w:val="008A1F7B"/>
    <w:rsid w:val="008A2B7A"/>
    <w:rsid w:val="008A3BE7"/>
    <w:rsid w:val="008A421D"/>
    <w:rsid w:val="008B447B"/>
    <w:rsid w:val="008C0694"/>
    <w:rsid w:val="008C0A98"/>
    <w:rsid w:val="008C33D2"/>
    <w:rsid w:val="008C5196"/>
    <w:rsid w:val="008C7DF8"/>
    <w:rsid w:val="008D1A3F"/>
    <w:rsid w:val="008D1B49"/>
    <w:rsid w:val="008D479E"/>
    <w:rsid w:val="008D4D22"/>
    <w:rsid w:val="008D54EC"/>
    <w:rsid w:val="008D5CAA"/>
    <w:rsid w:val="008D5CE1"/>
    <w:rsid w:val="008D74BF"/>
    <w:rsid w:val="008E1829"/>
    <w:rsid w:val="008E3F4E"/>
    <w:rsid w:val="008E480E"/>
    <w:rsid w:val="008E49D2"/>
    <w:rsid w:val="008E58AA"/>
    <w:rsid w:val="008E5DAD"/>
    <w:rsid w:val="008F07F8"/>
    <w:rsid w:val="008F0F39"/>
    <w:rsid w:val="008F519F"/>
    <w:rsid w:val="008F6062"/>
    <w:rsid w:val="008F6211"/>
    <w:rsid w:val="008F7422"/>
    <w:rsid w:val="008F7DDC"/>
    <w:rsid w:val="00902CD4"/>
    <w:rsid w:val="00903E3F"/>
    <w:rsid w:val="00903FB6"/>
    <w:rsid w:val="00904AE0"/>
    <w:rsid w:val="00905F3B"/>
    <w:rsid w:val="00906A38"/>
    <w:rsid w:val="009127E7"/>
    <w:rsid w:val="00912938"/>
    <w:rsid w:val="00916304"/>
    <w:rsid w:val="00916410"/>
    <w:rsid w:val="00920BDD"/>
    <w:rsid w:val="009210D8"/>
    <w:rsid w:val="0092192B"/>
    <w:rsid w:val="009219A7"/>
    <w:rsid w:val="00922D3B"/>
    <w:rsid w:val="00922EF8"/>
    <w:rsid w:val="009235FD"/>
    <w:rsid w:val="00924005"/>
    <w:rsid w:val="009246F2"/>
    <w:rsid w:val="009269E8"/>
    <w:rsid w:val="00926C19"/>
    <w:rsid w:val="00932B68"/>
    <w:rsid w:val="00932DA8"/>
    <w:rsid w:val="00934954"/>
    <w:rsid w:val="009359B8"/>
    <w:rsid w:val="00936423"/>
    <w:rsid w:val="00937EA3"/>
    <w:rsid w:val="00940059"/>
    <w:rsid w:val="00940856"/>
    <w:rsid w:val="009409BC"/>
    <w:rsid w:val="00942036"/>
    <w:rsid w:val="0094325A"/>
    <w:rsid w:val="00943B24"/>
    <w:rsid w:val="00943E23"/>
    <w:rsid w:val="00944E37"/>
    <w:rsid w:val="00945865"/>
    <w:rsid w:val="00946911"/>
    <w:rsid w:val="00947ABD"/>
    <w:rsid w:val="00947AE2"/>
    <w:rsid w:val="00947C2F"/>
    <w:rsid w:val="00947D78"/>
    <w:rsid w:val="00947DC2"/>
    <w:rsid w:val="0095034D"/>
    <w:rsid w:val="009503A0"/>
    <w:rsid w:val="00950A3B"/>
    <w:rsid w:val="009534C9"/>
    <w:rsid w:val="00955687"/>
    <w:rsid w:val="00957F36"/>
    <w:rsid w:val="009616CD"/>
    <w:rsid w:val="0096291B"/>
    <w:rsid w:val="0096426E"/>
    <w:rsid w:val="00965670"/>
    <w:rsid w:val="00965F32"/>
    <w:rsid w:val="00966381"/>
    <w:rsid w:val="00970B1A"/>
    <w:rsid w:val="00971C5C"/>
    <w:rsid w:val="00973331"/>
    <w:rsid w:val="009737F3"/>
    <w:rsid w:val="009771D9"/>
    <w:rsid w:val="009774E9"/>
    <w:rsid w:val="009777E1"/>
    <w:rsid w:val="00977875"/>
    <w:rsid w:val="0098097F"/>
    <w:rsid w:val="00983A94"/>
    <w:rsid w:val="00984ABD"/>
    <w:rsid w:val="009859FA"/>
    <w:rsid w:val="00985DD4"/>
    <w:rsid w:val="009913B8"/>
    <w:rsid w:val="0099769C"/>
    <w:rsid w:val="009A0191"/>
    <w:rsid w:val="009A029C"/>
    <w:rsid w:val="009A0C4A"/>
    <w:rsid w:val="009A190E"/>
    <w:rsid w:val="009A23F0"/>
    <w:rsid w:val="009A2A86"/>
    <w:rsid w:val="009A35C5"/>
    <w:rsid w:val="009B101E"/>
    <w:rsid w:val="009B53EF"/>
    <w:rsid w:val="009B7FA1"/>
    <w:rsid w:val="009C4A31"/>
    <w:rsid w:val="009C506B"/>
    <w:rsid w:val="009C5FEF"/>
    <w:rsid w:val="009D4240"/>
    <w:rsid w:val="009D4B1E"/>
    <w:rsid w:val="009D4F49"/>
    <w:rsid w:val="009D626A"/>
    <w:rsid w:val="009E1001"/>
    <w:rsid w:val="009E13D9"/>
    <w:rsid w:val="009E1E98"/>
    <w:rsid w:val="009E7FC5"/>
    <w:rsid w:val="009F1614"/>
    <w:rsid w:val="009F166F"/>
    <w:rsid w:val="009F17A3"/>
    <w:rsid w:val="009F2DB2"/>
    <w:rsid w:val="009F387F"/>
    <w:rsid w:val="009F3B9A"/>
    <w:rsid w:val="009F45E8"/>
    <w:rsid w:val="009F5D1F"/>
    <w:rsid w:val="009F7225"/>
    <w:rsid w:val="009F748C"/>
    <w:rsid w:val="009F756A"/>
    <w:rsid w:val="00A00617"/>
    <w:rsid w:val="00A00BB4"/>
    <w:rsid w:val="00A01521"/>
    <w:rsid w:val="00A05573"/>
    <w:rsid w:val="00A05C49"/>
    <w:rsid w:val="00A0671D"/>
    <w:rsid w:val="00A07410"/>
    <w:rsid w:val="00A111B4"/>
    <w:rsid w:val="00A117D4"/>
    <w:rsid w:val="00A12B63"/>
    <w:rsid w:val="00A149B3"/>
    <w:rsid w:val="00A156B1"/>
    <w:rsid w:val="00A177E6"/>
    <w:rsid w:val="00A2128F"/>
    <w:rsid w:val="00A21BA3"/>
    <w:rsid w:val="00A21DE3"/>
    <w:rsid w:val="00A21E98"/>
    <w:rsid w:val="00A22AAE"/>
    <w:rsid w:val="00A24118"/>
    <w:rsid w:val="00A25E95"/>
    <w:rsid w:val="00A266B2"/>
    <w:rsid w:val="00A32599"/>
    <w:rsid w:val="00A32EBE"/>
    <w:rsid w:val="00A33299"/>
    <w:rsid w:val="00A35700"/>
    <w:rsid w:val="00A37874"/>
    <w:rsid w:val="00A37921"/>
    <w:rsid w:val="00A37B4D"/>
    <w:rsid w:val="00A4003E"/>
    <w:rsid w:val="00A41D7D"/>
    <w:rsid w:val="00A422B5"/>
    <w:rsid w:val="00A4251E"/>
    <w:rsid w:val="00A466DB"/>
    <w:rsid w:val="00A52FD0"/>
    <w:rsid w:val="00A54806"/>
    <w:rsid w:val="00A54DC1"/>
    <w:rsid w:val="00A57013"/>
    <w:rsid w:val="00A60794"/>
    <w:rsid w:val="00A618CD"/>
    <w:rsid w:val="00A63496"/>
    <w:rsid w:val="00A64F08"/>
    <w:rsid w:val="00A706AD"/>
    <w:rsid w:val="00A70A78"/>
    <w:rsid w:val="00A70E74"/>
    <w:rsid w:val="00A7141C"/>
    <w:rsid w:val="00A71544"/>
    <w:rsid w:val="00A71AB5"/>
    <w:rsid w:val="00A7215C"/>
    <w:rsid w:val="00A72337"/>
    <w:rsid w:val="00A76C01"/>
    <w:rsid w:val="00A77170"/>
    <w:rsid w:val="00A81AF8"/>
    <w:rsid w:val="00A821A2"/>
    <w:rsid w:val="00A82A4D"/>
    <w:rsid w:val="00A84A18"/>
    <w:rsid w:val="00A86739"/>
    <w:rsid w:val="00A91DE3"/>
    <w:rsid w:val="00A93284"/>
    <w:rsid w:val="00A93661"/>
    <w:rsid w:val="00AA0462"/>
    <w:rsid w:val="00AA09C1"/>
    <w:rsid w:val="00AA262A"/>
    <w:rsid w:val="00AA32ED"/>
    <w:rsid w:val="00AA4D18"/>
    <w:rsid w:val="00AA56C8"/>
    <w:rsid w:val="00AA5984"/>
    <w:rsid w:val="00AB09B7"/>
    <w:rsid w:val="00AB1F45"/>
    <w:rsid w:val="00AB2B03"/>
    <w:rsid w:val="00AB2B1C"/>
    <w:rsid w:val="00AB2B5F"/>
    <w:rsid w:val="00AB2C97"/>
    <w:rsid w:val="00AB3136"/>
    <w:rsid w:val="00AB501C"/>
    <w:rsid w:val="00AB50A7"/>
    <w:rsid w:val="00AB519E"/>
    <w:rsid w:val="00AB6E46"/>
    <w:rsid w:val="00AC15FA"/>
    <w:rsid w:val="00AC1728"/>
    <w:rsid w:val="00AC2762"/>
    <w:rsid w:val="00AC4A16"/>
    <w:rsid w:val="00AC773F"/>
    <w:rsid w:val="00AC78CB"/>
    <w:rsid w:val="00AC794B"/>
    <w:rsid w:val="00AD06C3"/>
    <w:rsid w:val="00AD26AC"/>
    <w:rsid w:val="00AD42BD"/>
    <w:rsid w:val="00AD4FD3"/>
    <w:rsid w:val="00AD5D17"/>
    <w:rsid w:val="00AD5FF0"/>
    <w:rsid w:val="00AD6358"/>
    <w:rsid w:val="00AD6C0E"/>
    <w:rsid w:val="00AD6D80"/>
    <w:rsid w:val="00AE07D0"/>
    <w:rsid w:val="00AE30B7"/>
    <w:rsid w:val="00AE350D"/>
    <w:rsid w:val="00AE4F09"/>
    <w:rsid w:val="00AE5E23"/>
    <w:rsid w:val="00AE757F"/>
    <w:rsid w:val="00AF051F"/>
    <w:rsid w:val="00AF23A9"/>
    <w:rsid w:val="00AF25E1"/>
    <w:rsid w:val="00AF2690"/>
    <w:rsid w:val="00AF40E8"/>
    <w:rsid w:val="00AF4B64"/>
    <w:rsid w:val="00AF5889"/>
    <w:rsid w:val="00AF6569"/>
    <w:rsid w:val="00AF6DAE"/>
    <w:rsid w:val="00B036A4"/>
    <w:rsid w:val="00B051AB"/>
    <w:rsid w:val="00B0591C"/>
    <w:rsid w:val="00B06BFB"/>
    <w:rsid w:val="00B1068E"/>
    <w:rsid w:val="00B11083"/>
    <w:rsid w:val="00B11BCA"/>
    <w:rsid w:val="00B16B2D"/>
    <w:rsid w:val="00B16D23"/>
    <w:rsid w:val="00B17AC5"/>
    <w:rsid w:val="00B20B14"/>
    <w:rsid w:val="00B24074"/>
    <w:rsid w:val="00B30FF5"/>
    <w:rsid w:val="00B31928"/>
    <w:rsid w:val="00B334F2"/>
    <w:rsid w:val="00B363AB"/>
    <w:rsid w:val="00B40E28"/>
    <w:rsid w:val="00B4432E"/>
    <w:rsid w:val="00B44DA2"/>
    <w:rsid w:val="00B45111"/>
    <w:rsid w:val="00B46237"/>
    <w:rsid w:val="00B46E1C"/>
    <w:rsid w:val="00B47D43"/>
    <w:rsid w:val="00B47F68"/>
    <w:rsid w:val="00B5079E"/>
    <w:rsid w:val="00B54AAD"/>
    <w:rsid w:val="00B554AB"/>
    <w:rsid w:val="00B63D2E"/>
    <w:rsid w:val="00B63E5A"/>
    <w:rsid w:val="00B65482"/>
    <w:rsid w:val="00B65657"/>
    <w:rsid w:val="00B656A8"/>
    <w:rsid w:val="00B658E1"/>
    <w:rsid w:val="00B662E4"/>
    <w:rsid w:val="00B66F34"/>
    <w:rsid w:val="00B67289"/>
    <w:rsid w:val="00B70287"/>
    <w:rsid w:val="00B703C6"/>
    <w:rsid w:val="00B70A2D"/>
    <w:rsid w:val="00B73327"/>
    <w:rsid w:val="00B7407A"/>
    <w:rsid w:val="00B75EAB"/>
    <w:rsid w:val="00B77162"/>
    <w:rsid w:val="00B80505"/>
    <w:rsid w:val="00B824C0"/>
    <w:rsid w:val="00B840B5"/>
    <w:rsid w:val="00B84773"/>
    <w:rsid w:val="00B87CBC"/>
    <w:rsid w:val="00B94254"/>
    <w:rsid w:val="00B95043"/>
    <w:rsid w:val="00B95958"/>
    <w:rsid w:val="00B95C70"/>
    <w:rsid w:val="00B9676E"/>
    <w:rsid w:val="00B97C6D"/>
    <w:rsid w:val="00BA1006"/>
    <w:rsid w:val="00BA136A"/>
    <w:rsid w:val="00BA17B4"/>
    <w:rsid w:val="00BA3A34"/>
    <w:rsid w:val="00BA6B4A"/>
    <w:rsid w:val="00BB3418"/>
    <w:rsid w:val="00BC033F"/>
    <w:rsid w:val="00BC0373"/>
    <w:rsid w:val="00BC0403"/>
    <w:rsid w:val="00BC0896"/>
    <w:rsid w:val="00BC201C"/>
    <w:rsid w:val="00BC2437"/>
    <w:rsid w:val="00BC255D"/>
    <w:rsid w:val="00BC2DBE"/>
    <w:rsid w:val="00BC3E8B"/>
    <w:rsid w:val="00BC3FA9"/>
    <w:rsid w:val="00BC45CD"/>
    <w:rsid w:val="00BC595D"/>
    <w:rsid w:val="00BD1ECF"/>
    <w:rsid w:val="00BD5E8D"/>
    <w:rsid w:val="00BD6C35"/>
    <w:rsid w:val="00BD7AED"/>
    <w:rsid w:val="00BE053F"/>
    <w:rsid w:val="00BE080B"/>
    <w:rsid w:val="00BE0FE8"/>
    <w:rsid w:val="00BE1CE2"/>
    <w:rsid w:val="00BE301A"/>
    <w:rsid w:val="00BE44CB"/>
    <w:rsid w:val="00BE4FAA"/>
    <w:rsid w:val="00BF0D5D"/>
    <w:rsid w:val="00BF485C"/>
    <w:rsid w:val="00BF565D"/>
    <w:rsid w:val="00BF5803"/>
    <w:rsid w:val="00C01992"/>
    <w:rsid w:val="00C0313A"/>
    <w:rsid w:val="00C034DB"/>
    <w:rsid w:val="00C043B6"/>
    <w:rsid w:val="00C0504F"/>
    <w:rsid w:val="00C07B2F"/>
    <w:rsid w:val="00C1078B"/>
    <w:rsid w:val="00C10951"/>
    <w:rsid w:val="00C11959"/>
    <w:rsid w:val="00C12A3E"/>
    <w:rsid w:val="00C13604"/>
    <w:rsid w:val="00C148F1"/>
    <w:rsid w:val="00C172E2"/>
    <w:rsid w:val="00C209A5"/>
    <w:rsid w:val="00C212DA"/>
    <w:rsid w:val="00C22515"/>
    <w:rsid w:val="00C23251"/>
    <w:rsid w:val="00C26849"/>
    <w:rsid w:val="00C26DB9"/>
    <w:rsid w:val="00C278C0"/>
    <w:rsid w:val="00C31197"/>
    <w:rsid w:val="00C3269B"/>
    <w:rsid w:val="00C3318A"/>
    <w:rsid w:val="00C361E5"/>
    <w:rsid w:val="00C363C0"/>
    <w:rsid w:val="00C37B8C"/>
    <w:rsid w:val="00C462AE"/>
    <w:rsid w:val="00C46CAA"/>
    <w:rsid w:val="00C53DA9"/>
    <w:rsid w:val="00C551C7"/>
    <w:rsid w:val="00C5697F"/>
    <w:rsid w:val="00C60BC5"/>
    <w:rsid w:val="00C6177E"/>
    <w:rsid w:val="00C618C9"/>
    <w:rsid w:val="00C65A91"/>
    <w:rsid w:val="00C668D8"/>
    <w:rsid w:val="00C7170A"/>
    <w:rsid w:val="00C717CE"/>
    <w:rsid w:val="00C7366C"/>
    <w:rsid w:val="00C739D8"/>
    <w:rsid w:val="00C74171"/>
    <w:rsid w:val="00C76493"/>
    <w:rsid w:val="00C8068E"/>
    <w:rsid w:val="00C8094C"/>
    <w:rsid w:val="00C80E39"/>
    <w:rsid w:val="00C80F66"/>
    <w:rsid w:val="00C824A1"/>
    <w:rsid w:val="00C82849"/>
    <w:rsid w:val="00C84AFA"/>
    <w:rsid w:val="00C8592E"/>
    <w:rsid w:val="00C866E2"/>
    <w:rsid w:val="00C8793C"/>
    <w:rsid w:val="00C90D7C"/>
    <w:rsid w:val="00C913F4"/>
    <w:rsid w:val="00C9290A"/>
    <w:rsid w:val="00C93E96"/>
    <w:rsid w:val="00C94981"/>
    <w:rsid w:val="00C94C5E"/>
    <w:rsid w:val="00C95BD9"/>
    <w:rsid w:val="00C97AA8"/>
    <w:rsid w:val="00C97E87"/>
    <w:rsid w:val="00CA74FF"/>
    <w:rsid w:val="00CA7661"/>
    <w:rsid w:val="00CB2590"/>
    <w:rsid w:val="00CB7A95"/>
    <w:rsid w:val="00CC1534"/>
    <w:rsid w:val="00CC5B1A"/>
    <w:rsid w:val="00CC5C28"/>
    <w:rsid w:val="00CC6F2F"/>
    <w:rsid w:val="00CD1DBB"/>
    <w:rsid w:val="00CD43C0"/>
    <w:rsid w:val="00CD484D"/>
    <w:rsid w:val="00CD543A"/>
    <w:rsid w:val="00CD6021"/>
    <w:rsid w:val="00CD6C8B"/>
    <w:rsid w:val="00CD703A"/>
    <w:rsid w:val="00CD7517"/>
    <w:rsid w:val="00CE148E"/>
    <w:rsid w:val="00CE2880"/>
    <w:rsid w:val="00CE2E06"/>
    <w:rsid w:val="00CE3A36"/>
    <w:rsid w:val="00CE3CC8"/>
    <w:rsid w:val="00CE4CFF"/>
    <w:rsid w:val="00CE4ECF"/>
    <w:rsid w:val="00CE5C1E"/>
    <w:rsid w:val="00CE5C3A"/>
    <w:rsid w:val="00CF150D"/>
    <w:rsid w:val="00CF3916"/>
    <w:rsid w:val="00CF40A6"/>
    <w:rsid w:val="00CF45A1"/>
    <w:rsid w:val="00CF5E15"/>
    <w:rsid w:val="00D00843"/>
    <w:rsid w:val="00D039CA"/>
    <w:rsid w:val="00D04163"/>
    <w:rsid w:val="00D057B2"/>
    <w:rsid w:val="00D05C80"/>
    <w:rsid w:val="00D07EBA"/>
    <w:rsid w:val="00D11BCB"/>
    <w:rsid w:val="00D12A62"/>
    <w:rsid w:val="00D150F3"/>
    <w:rsid w:val="00D15255"/>
    <w:rsid w:val="00D15B9C"/>
    <w:rsid w:val="00D20BDC"/>
    <w:rsid w:val="00D22A60"/>
    <w:rsid w:val="00D22F41"/>
    <w:rsid w:val="00D23F0F"/>
    <w:rsid w:val="00D2480F"/>
    <w:rsid w:val="00D25A91"/>
    <w:rsid w:val="00D274A1"/>
    <w:rsid w:val="00D27C71"/>
    <w:rsid w:val="00D302A6"/>
    <w:rsid w:val="00D35A04"/>
    <w:rsid w:val="00D35D4A"/>
    <w:rsid w:val="00D35E6B"/>
    <w:rsid w:val="00D371A3"/>
    <w:rsid w:val="00D374EA"/>
    <w:rsid w:val="00D401DD"/>
    <w:rsid w:val="00D415C5"/>
    <w:rsid w:val="00D41E3B"/>
    <w:rsid w:val="00D41F35"/>
    <w:rsid w:val="00D427D7"/>
    <w:rsid w:val="00D42C6E"/>
    <w:rsid w:val="00D43B79"/>
    <w:rsid w:val="00D446E9"/>
    <w:rsid w:val="00D45DC4"/>
    <w:rsid w:val="00D4736D"/>
    <w:rsid w:val="00D47420"/>
    <w:rsid w:val="00D50079"/>
    <w:rsid w:val="00D51744"/>
    <w:rsid w:val="00D541D2"/>
    <w:rsid w:val="00D54AE6"/>
    <w:rsid w:val="00D552F5"/>
    <w:rsid w:val="00D569A8"/>
    <w:rsid w:val="00D572BF"/>
    <w:rsid w:val="00D5764B"/>
    <w:rsid w:val="00D601E9"/>
    <w:rsid w:val="00D6109F"/>
    <w:rsid w:val="00D614FA"/>
    <w:rsid w:val="00D61505"/>
    <w:rsid w:val="00D628B3"/>
    <w:rsid w:val="00D62A70"/>
    <w:rsid w:val="00D62AA1"/>
    <w:rsid w:val="00D63ED0"/>
    <w:rsid w:val="00D648BF"/>
    <w:rsid w:val="00D65482"/>
    <w:rsid w:val="00D67C59"/>
    <w:rsid w:val="00D67CBC"/>
    <w:rsid w:val="00D70BE0"/>
    <w:rsid w:val="00D72BF0"/>
    <w:rsid w:val="00D800B6"/>
    <w:rsid w:val="00D80C5D"/>
    <w:rsid w:val="00D81BCB"/>
    <w:rsid w:val="00D82EC7"/>
    <w:rsid w:val="00D83B7E"/>
    <w:rsid w:val="00D85633"/>
    <w:rsid w:val="00D907E2"/>
    <w:rsid w:val="00D90E02"/>
    <w:rsid w:val="00D90F6E"/>
    <w:rsid w:val="00D9116D"/>
    <w:rsid w:val="00D92C7C"/>
    <w:rsid w:val="00D92EC1"/>
    <w:rsid w:val="00D932F6"/>
    <w:rsid w:val="00D935AF"/>
    <w:rsid w:val="00D93F64"/>
    <w:rsid w:val="00D9477D"/>
    <w:rsid w:val="00D94C70"/>
    <w:rsid w:val="00D968C5"/>
    <w:rsid w:val="00D97558"/>
    <w:rsid w:val="00DA029C"/>
    <w:rsid w:val="00DA051E"/>
    <w:rsid w:val="00DA2440"/>
    <w:rsid w:val="00DA4226"/>
    <w:rsid w:val="00DA4372"/>
    <w:rsid w:val="00DB1250"/>
    <w:rsid w:val="00DB1A41"/>
    <w:rsid w:val="00DB1BB1"/>
    <w:rsid w:val="00DB2A59"/>
    <w:rsid w:val="00DC06F4"/>
    <w:rsid w:val="00DC17BC"/>
    <w:rsid w:val="00DC194C"/>
    <w:rsid w:val="00DC24CF"/>
    <w:rsid w:val="00DC5C20"/>
    <w:rsid w:val="00DC6CB0"/>
    <w:rsid w:val="00DC6EAA"/>
    <w:rsid w:val="00DD0899"/>
    <w:rsid w:val="00DD0AB1"/>
    <w:rsid w:val="00DD1720"/>
    <w:rsid w:val="00DD4B47"/>
    <w:rsid w:val="00DD59A8"/>
    <w:rsid w:val="00DD6232"/>
    <w:rsid w:val="00DD66A8"/>
    <w:rsid w:val="00DE0EE1"/>
    <w:rsid w:val="00DE15DD"/>
    <w:rsid w:val="00DE308E"/>
    <w:rsid w:val="00DE41C3"/>
    <w:rsid w:val="00DE5802"/>
    <w:rsid w:val="00DE62C6"/>
    <w:rsid w:val="00DF35DA"/>
    <w:rsid w:val="00DF3AA9"/>
    <w:rsid w:val="00DF51F3"/>
    <w:rsid w:val="00DF5FD3"/>
    <w:rsid w:val="00DF6D23"/>
    <w:rsid w:val="00DF6E5B"/>
    <w:rsid w:val="00DF6F61"/>
    <w:rsid w:val="00E016E0"/>
    <w:rsid w:val="00E01B2F"/>
    <w:rsid w:val="00E043F3"/>
    <w:rsid w:val="00E04EE1"/>
    <w:rsid w:val="00E05466"/>
    <w:rsid w:val="00E11ABD"/>
    <w:rsid w:val="00E12043"/>
    <w:rsid w:val="00E132AF"/>
    <w:rsid w:val="00E13DE0"/>
    <w:rsid w:val="00E14557"/>
    <w:rsid w:val="00E14FBF"/>
    <w:rsid w:val="00E16348"/>
    <w:rsid w:val="00E167C5"/>
    <w:rsid w:val="00E17282"/>
    <w:rsid w:val="00E20247"/>
    <w:rsid w:val="00E20FF6"/>
    <w:rsid w:val="00E21611"/>
    <w:rsid w:val="00E217CB"/>
    <w:rsid w:val="00E24BA0"/>
    <w:rsid w:val="00E2654F"/>
    <w:rsid w:val="00E26E3C"/>
    <w:rsid w:val="00E26F83"/>
    <w:rsid w:val="00E30962"/>
    <w:rsid w:val="00E3143C"/>
    <w:rsid w:val="00E33102"/>
    <w:rsid w:val="00E369C7"/>
    <w:rsid w:val="00E37F36"/>
    <w:rsid w:val="00E400A4"/>
    <w:rsid w:val="00E41E9D"/>
    <w:rsid w:val="00E41F62"/>
    <w:rsid w:val="00E4245C"/>
    <w:rsid w:val="00E429D5"/>
    <w:rsid w:val="00E4646A"/>
    <w:rsid w:val="00E52DE5"/>
    <w:rsid w:val="00E52EB1"/>
    <w:rsid w:val="00E53068"/>
    <w:rsid w:val="00E541B3"/>
    <w:rsid w:val="00E55EA7"/>
    <w:rsid w:val="00E57842"/>
    <w:rsid w:val="00E60DA4"/>
    <w:rsid w:val="00E6159B"/>
    <w:rsid w:val="00E638D3"/>
    <w:rsid w:val="00E63994"/>
    <w:rsid w:val="00E643EA"/>
    <w:rsid w:val="00E64BF4"/>
    <w:rsid w:val="00E66D19"/>
    <w:rsid w:val="00E679D5"/>
    <w:rsid w:val="00E67E00"/>
    <w:rsid w:val="00E71C2D"/>
    <w:rsid w:val="00E724E1"/>
    <w:rsid w:val="00E741A5"/>
    <w:rsid w:val="00E756F4"/>
    <w:rsid w:val="00E76123"/>
    <w:rsid w:val="00E767AD"/>
    <w:rsid w:val="00E77287"/>
    <w:rsid w:val="00E77B4B"/>
    <w:rsid w:val="00E80789"/>
    <w:rsid w:val="00E82C41"/>
    <w:rsid w:val="00E85012"/>
    <w:rsid w:val="00E85732"/>
    <w:rsid w:val="00E87793"/>
    <w:rsid w:val="00E9053C"/>
    <w:rsid w:val="00E921DB"/>
    <w:rsid w:val="00E92CE5"/>
    <w:rsid w:val="00E93175"/>
    <w:rsid w:val="00E93551"/>
    <w:rsid w:val="00E9365B"/>
    <w:rsid w:val="00E9539C"/>
    <w:rsid w:val="00E96FEA"/>
    <w:rsid w:val="00EA056E"/>
    <w:rsid w:val="00EA05F5"/>
    <w:rsid w:val="00EA1387"/>
    <w:rsid w:val="00EA4AC4"/>
    <w:rsid w:val="00EA4BFD"/>
    <w:rsid w:val="00EA4C7C"/>
    <w:rsid w:val="00EB0489"/>
    <w:rsid w:val="00EB2C66"/>
    <w:rsid w:val="00EB41E9"/>
    <w:rsid w:val="00EB57D6"/>
    <w:rsid w:val="00EB596D"/>
    <w:rsid w:val="00EB5F63"/>
    <w:rsid w:val="00EB6E9B"/>
    <w:rsid w:val="00EB7F14"/>
    <w:rsid w:val="00EC02EE"/>
    <w:rsid w:val="00EC1C85"/>
    <w:rsid w:val="00EC33C5"/>
    <w:rsid w:val="00ED0837"/>
    <w:rsid w:val="00ED20DC"/>
    <w:rsid w:val="00ED2B7D"/>
    <w:rsid w:val="00ED3D3C"/>
    <w:rsid w:val="00ED6B18"/>
    <w:rsid w:val="00EE07D4"/>
    <w:rsid w:val="00EE1213"/>
    <w:rsid w:val="00EE39A8"/>
    <w:rsid w:val="00EE6EC4"/>
    <w:rsid w:val="00EE7DA1"/>
    <w:rsid w:val="00EF0BB4"/>
    <w:rsid w:val="00EF2B47"/>
    <w:rsid w:val="00EF3585"/>
    <w:rsid w:val="00EF3B50"/>
    <w:rsid w:val="00EF4C1B"/>
    <w:rsid w:val="00EF73D3"/>
    <w:rsid w:val="00EF770C"/>
    <w:rsid w:val="00F00DD9"/>
    <w:rsid w:val="00F02133"/>
    <w:rsid w:val="00F029BE"/>
    <w:rsid w:val="00F0321F"/>
    <w:rsid w:val="00F0689A"/>
    <w:rsid w:val="00F11F33"/>
    <w:rsid w:val="00F13EBD"/>
    <w:rsid w:val="00F15A61"/>
    <w:rsid w:val="00F17A12"/>
    <w:rsid w:val="00F20573"/>
    <w:rsid w:val="00F23621"/>
    <w:rsid w:val="00F2445C"/>
    <w:rsid w:val="00F32EB7"/>
    <w:rsid w:val="00F3339D"/>
    <w:rsid w:val="00F36C61"/>
    <w:rsid w:val="00F37B96"/>
    <w:rsid w:val="00F410E1"/>
    <w:rsid w:val="00F42563"/>
    <w:rsid w:val="00F42816"/>
    <w:rsid w:val="00F45CE4"/>
    <w:rsid w:val="00F46620"/>
    <w:rsid w:val="00F52632"/>
    <w:rsid w:val="00F54C3A"/>
    <w:rsid w:val="00F56081"/>
    <w:rsid w:val="00F57312"/>
    <w:rsid w:val="00F60835"/>
    <w:rsid w:val="00F63C99"/>
    <w:rsid w:val="00F67D26"/>
    <w:rsid w:val="00F67DBD"/>
    <w:rsid w:val="00F67E55"/>
    <w:rsid w:val="00F70A94"/>
    <w:rsid w:val="00F72A98"/>
    <w:rsid w:val="00F7316F"/>
    <w:rsid w:val="00F74CC3"/>
    <w:rsid w:val="00F7739D"/>
    <w:rsid w:val="00F77A9E"/>
    <w:rsid w:val="00F77D05"/>
    <w:rsid w:val="00F822FE"/>
    <w:rsid w:val="00F82467"/>
    <w:rsid w:val="00F84131"/>
    <w:rsid w:val="00F859AB"/>
    <w:rsid w:val="00F86097"/>
    <w:rsid w:val="00F87AC3"/>
    <w:rsid w:val="00F90643"/>
    <w:rsid w:val="00F9113D"/>
    <w:rsid w:val="00F9139D"/>
    <w:rsid w:val="00F9279A"/>
    <w:rsid w:val="00F94555"/>
    <w:rsid w:val="00F950EE"/>
    <w:rsid w:val="00F9517E"/>
    <w:rsid w:val="00F96558"/>
    <w:rsid w:val="00FA09C2"/>
    <w:rsid w:val="00FA0ECD"/>
    <w:rsid w:val="00FA1250"/>
    <w:rsid w:val="00FA154E"/>
    <w:rsid w:val="00FA64D0"/>
    <w:rsid w:val="00FA69DC"/>
    <w:rsid w:val="00FB10E9"/>
    <w:rsid w:val="00FB19EC"/>
    <w:rsid w:val="00FB3731"/>
    <w:rsid w:val="00FB3851"/>
    <w:rsid w:val="00FB48BB"/>
    <w:rsid w:val="00FB4A9E"/>
    <w:rsid w:val="00FB7345"/>
    <w:rsid w:val="00FC06A8"/>
    <w:rsid w:val="00FC08A6"/>
    <w:rsid w:val="00FC1F13"/>
    <w:rsid w:val="00FC24DE"/>
    <w:rsid w:val="00FC2843"/>
    <w:rsid w:val="00FC3B9F"/>
    <w:rsid w:val="00FC650D"/>
    <w:rsid w:val="00FC6AC2"/>
    <w:rsid w:val="00FC7A6E"/>
    <w:rsid w:val="00FD00B9"/>
    <w:rsid w:val="00FD1FF4"/>
    <w:rsid w:val="00FD45F7"/>
    <w:rsid w:val="00FD488C"/>
    <w:rsid w:val="00FD7DA7"/>
    <w:rsid w:val="00FD7FBB"/>
    <w:rsid w:val="00FE06A8"/>
    <w:rsid w:val="00FE0B91"/>
    <w:rsid w:val="00FE10DB"/>
    <w:rsid w:val="00FE2052"/>
    <w:rsid w:val="00FE24BC"/>
    <w:rsid w:val="00FE2E37"/>
    <w:rsid w:val="00FE2F8A"/>
    <w:rsid w:val="00FE3B87"/>
    <w:rsid w:val="00FE512C"/>
    <w:rsid w:val="00FE6638"/>
    <w:rsid w:val="00FF1186"/>
    <w:rsid w:val="00FF1FA4"/>
    <w:rsid w:val="00FF2BED"/>
    <w:rsid w:val="00FF62D0"/>
    <w:rsid w:val="00FF6D24"/>
    <w:rsid w:val="00FF6E93"/>
    <w:rsid w:val="00FF7F85"/>
    <w:rsid w:val="016674B7"/>
    <w:rsid w:val="01F04A91"/>
    <w:rsid w:val="039870BF"/>
    <w:rsid w:val="04725F32"/>
    <w:rsid w:val="050A56FC"/>
    <w:rsid w:val="05EC7312"/>
    <w:rsid w:val="083E7269"/>
    <w:rsid w:val="09ED5093"/>
    <w:rsid w:val="0A4D68E5"/>
    <w:rsid w:val="0AB63FB3"/>
    <w:rsid w:val="0BAB01AC"/>
    <w:rsid w:val="0D300BDE"/>
    <w:rsid w:val="0F984748"/>
    <w:rsid w:val="0FE50E52"/>
    <w:rsid w:val="104F1157"/>
    <w:rsid w:val="10E50E27"/>
    <w:rsid w:val="117D6D90"/>
    <w:rsid w:val="13C07C01"/>
    <w:rsid w:val="13D502EA"/>
    <w:rsid w:val="13D87C31"/>
    <w:rsid w:val="143E66B3"/>
    <w:rsid w:val="14A6532B"/>
    <w:rsid w:val="15023C9F"/>
    <w:rsid w:val="15B86D27"/>
    <w:rsid w:val="15CA3F93"/>
    <w:rsid w:val="162F335B"/>
    <w:rsid w:val="16351E52"/>
    <w:rsid w:val="174F484D"/>
    <w:rsid w:val="1790588A"/>
    <w:rsid w:val="17CC781A"/>
    <w:rsid w:val="17E17399"/>
    <w:rsid w:val="187011C8"/>
    <w:rsid w:val="18FD1248"/>
    <w:rsid w:val="191A70DD"/>
    <w:rsid w:val="19A12AF6"/>
    <w:rsid w:val="19E3326A"/>
    <w:rsid w:val="1A7D28EB"/>
    <w:rsid w:val="1BE34880"/>
    <w:rsid w:val="1BF265D7"/>
    <w:rsid w:val="1C4D0D4A"/>
    <w:rsid w:val="1C695629"/>
    <w:rsid w:val="1C740146"/>
    <w:rsid w:val="1C7C175A"/>
    <w:rsid w:val="1CFF359F"/>
    <w:rsid w:val="1D226EA0"/>
    <w:rsid w:val="1D7360EA"/>
    <w:rsid w:val="1D9E011C"/>
    <w:rsid w:val="1E512858"/>
    <w:rsid w:val="1EE82F89"/>
    <w:rsid w:val="1F4D3D68"/>
    <w:rsid w:val="1FBE3A32"/>
    <w:rsid w:val="20651367"/>
    <w:rsid w:val="20F61A95"/>
    <w:rsid w:val="21E21017"/>
    <w:rsid w:val="22C64C01"/>
    <w:rsid w:val="23BE5BB1"/>
    <w:rsid w:val="23C12F77"/>
    <w:rsid w:val="24353D2E"/>
    <w:rsid w:val="2454768E"/>
    <w:rsid w:val="247C1D23"/>
    <w:rsid w:val="24CF7A08"/>
    <w:rsid w:val="26397CBE"/>
    <w:rsid w:val="26477185"/>
    <w:rsid w:val="26FB05A3"/>
    <w:rsid w:val="273264DD"/>
    <w:rsid w:val="273A366C"/>
    <w:rsid w:val="2763288C"/>
    <w:rsid w:val="27AA25E8"/>
    <w:rsid w:val="28730EDC"/>
    <w:rsid w:val="28B4691C"/>
    <w:rsid w:val="29B0575C"/>
    <w:rsid w:val="29CA6730"/>
    <w:rsid w:val="29FC7BB6"/>
    <w:rsid w:val="2A647F86"/>
    <w:rsid w:val="2B2A4640"/>
    <w:rsid w:val="2B562BE2"/>
    <w:rsid w:val="2CFB0D33"/>
    <w:rsid w:val="2D740976"/>
    <w:rsid w:val="2D7D20B4"/>
    <w:rsid w:val="2DAE1EC9"/>
    <w:rsid w:val="2E1546C1"/>
    <w:rsid w:val="2EF35E69"/>
    <w:rsid w:val="2F7E78CF"/>
    <w:rsid w:val="2FA138E4"/>
    <w:rsid w:val="30135356"/>
    <w:rsid w:val="303418BE"/>
    <w:rsid w:val="305F38FB"/>
    <w:rsid w:val="306F62AC"/>
    <w:rsid w:val="30B71989"/>
    <w:rsid w:val="310439A7"/>
    <w:rsid w:val="31FE2C9D"/>
    <w:rsid w:val="32D8387B"/>
    <w:rsid w:val="337F44CF"/>
    <w:rsid w:val="34D371C0"/>
    <w:rsid w:val="358F4407"/>
    <w:rsid w:val="3590706C"/>
    <w:rsid w:val="35A17F3B"/>
    <w:rsid w:val="3684161D"/>
    <w:rsid w:val="3698201A"/>
    <w:rsid w:val="36F52036"/>
    <w:rsid w:val="37A76159"/>
    <w:rsid w:val="37DF4C82"/>
    <w:rsid w:val="37F70841"/>
    <w:rsid w:val="38795D32"/>
    <w:rsid w:val="38E43D94"/>
    <w:rsid w:val="3971248D"/>
    <w:rsid w:val="39EC423E"/>
    <w:rsid w:val="39EC78DD"/>
    <w:rsid w:val="3A1302EC"/>
    <w:rsid w:val="3A5D0FD5"/>
    <w:rsid w:val="3ABC637C"/>
    <w:rsid w:val="3B8D193C"/>
    <w:rsid w:val="3CF562ED"/>
    <w:rsid w:val="3D0D6D24"/>
    <w:rsid w:val="3D742958"/>
    <w:rsid w:val="3E1D259C"/>
    <w:rsid w:val="3E217705"/>
    <w:rsid w:val="3F014E39"/>
    <w:rsid w:val="3F251745"/>
    <w:rsid w:val="3F6E3B5B"/>
    <w:rsid w:val="3FB72D90"/>
    <w:rsid w:val="40273D0A"/>
    <w:rsid w:val="40352698"/>
    <w:rsid w:val="412E5D75"/>
    <w:rsid w:val="41A8573C"/>
    <w:rsid w:val="424B52D4"/>
    <w:rsid w:val="42593669"/>
    <w:rsid w:val="430844D2"/>
    <w:rsid w:val="441042A2"/>
    <w:rsid w:val="443F7392"/>
    <w:rsid w:val="453225AB"/>
    <w:rsid w:val="467A572C"/>
    <w:rsid w:val="46A46BB5"/>
    <w:rsid w:val="46BB772D"/>
    <w:rsid w:val="46E942DA"/>
    <w:rsid w:val="47811F51"/>
    <w:rsid w:val="49B94356"/>
    <w:rsid w:val="49F07389"/>
    <w:rsid w:val="4A703ADC"/>
    <w:rsid w:val="4B7D096D"/>
    <w:rsid w:val="4B8907D0"/>
    <w:rsid w:val="4B94388F"/>
    <w:rsid w:val="4BD15B67"/>
    <w:rsid w:val="4C481290"/>
    <w:rsid w:val="4C6B3833"/>
    <w:rsid w:val="4D582618"/>
    <w:rsid w:val="4E1E6C56"/>
    <w:rsid w:val="4E566BD8"/>
    <w:rsid w:val="4ED1261D"/>
    <w:rsid w:val="4EDA484F"/>
    <w:rsid w:val="4F73316B"/>
    <w:rsid w:val="4F84272D"/>
    <w:rsid w:val="4FD43BD5"/>
    <w:rsid w:val="4FDD62EE"/>
    <w:rsid w:val="5008324E"/>
    <w:rsid w:val="50113DB7"/>
    <w:rsid w:val="503A547F"/>
    <w:rsid w:val="50A828E5"/>
    <w:rsid w:val="51427EC5"/>
    <w:rsid w:val="52B4359D"/>
    <w:rsid w:val="5303145E"/>
    <w:rsid w:val="53393A26"/>
    <w:rsid w:val="53F50267"/>
    <w:rsid w:val="54243969"/>
    <w:rsid w:val="545F7B3E"/>
    <w:rsid w:val="548442C7"/>
    <w:rsid w:val="55E51B0D"/>
    <w:rsid w:val="55EF1C59"/>
    <w:rsid w:val="56A875E2"/>
    <w:rsid w:val="57355204"/>
    <w:rsid w:val="57DB076C"/>
    <w:rsid w:val="58EA0C3E"/>
    <w:rsid w:val="592F3599"/>
    <w:rsid w:val="596338E8"/>
    <w:rsid w:val="59A32A35"/>
    <w:rsid w:val="59FD0E89"/>
    <w:rsid w:val="5C6908A6"/>
    <w:rsid w:val="5CF92476"/>
    <w:rsid w:val="5D106026"/>
    <w:rsid w:val="5D5D61ED"/>
    <w:rsid w:val="5DCE4EDA"/>
    <w:rsid w:val="5DDA184A"/>
    <w:rsid w:val="5E1B63A8"/>
    <w:rsid w:val="600B4064"/>
    <w:rsid w:val="60667107"/>
    <w:rsid w:val="60952D42"/>
    <w:rsid w:val="60FA1679"/>
    <w:rsid w:val="618E6050"/>
    <w:rsid w:val="63031841"/>
    <w:rsid w:val="632B53E1"/>
    <w:rsid w:val="63706564"/>
    <w:rsid w:val="63BD3427"/>
    <w:rsid w:val="63CB2625"/>
    <w:rsid w:val="649A2229"/>
    <w:rsid w:val="650D4490"/>
    <w:rsid w:val="670E1FF7"/>
    <w:rsid w:val="67A27E42"/>
    <w:rsid w:val="67C32D47"/>
    <w:rsid w:val="68054659"/>
    <w:rsid w:val="69110F2F"/>
    <w:rsid w:val="692629B9"/>
    <w:rsid w:val="69310BD6"/>
    <w:rsid w:val="69C85B35"/>
    <w:rsid w:val="6A327846"/>
    <w:rsid w:val="6B3C7999"/>
    <w:rsid w:val="6BB0484E"/>
    <w:rsid w:val="6BB44CEC"/>
    <w:rsid w:val="6CFC3CA5"/>
    <w:rsid w:val="6D435C52"/>
    <w:rsid w:val="6D7E24C3"/>
    <w:rsid w:val="6DCF6791"/>
    <w:rsid w:val="6E5E5C97"/>
    <w:rsid w:val="6F517580"/>
    <w:rsid w:val="6F8A1503"/>
    <w:rsid w:val="6F917E0A"/>
    <w:rsid w:val="6FE74798"/>
    <w:rsid w:val="6FFB46E7"/>
    <w:rsid w:val="70BA7712"/>
    <w:rsid w:val="7174112F"/>
    <w:rsid w:val="71804995"/>
    <w:rsid w:val="733C01B2"/>
    <w:rsid w:val="738B5432"/>
    <w:rsid w:val="7433517E"/>
    <w:rsid w:val="745D4837"/>
    <w:rsid w:val="75F61BD9"/>
    <w:rsid w:val="76943B28"/>
    <w:rsid w:val="76A17B76"/>
    <w:rsid w:val="76A50F09"/>
    <w:rsid w:val="770A46B2"/>
    <w:rsid w:val="771D2C51"/>
    <w:rsid w:val="78755EBB"/>
    <w:rsid w:val="79330B20"/>
    <w:rsid w:val="794B2A09"/>
    <w:rsid w:val="79D4536F"/>
    <w:rsid w:val="7A461D58"/>
    <w:rsid w:val="7AEE2612"/>
    <w:rsid w:val="7BAD63DC"/>
    <w:rsid w:val="7C245553"/>
    <w:rsid w:val="7D1A122C"/>
    <w:rsid w:val="7F7D6EC7"/>
    <w:rsid w:val="7FAD0EE7"/>
    <w:rsid w:val="7FB30B9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iPriority="99" w:semiHidden="0"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4"/>
    <w:next w:val="1"/>
    <w:link w:val="52"/>
    <w:autoRedefine/>
    <w:qFormat/>
    <w:uiPriority w:val="0"/>
    <w:pPr>
      <w:spacing w:before="120" w:after="120" w:line="240" w:lineRule="auto"/>
      <w:jc w:val="center"/>
      <w:outlineLvl w:val="0"/>
    </w:pPr>
    <w:rPr>
      <w:kern w:val="44"/>
    </w:rPr>
  </w:style>
  <w:style w:type="paragraph" w:styleId="4">
    <w:name w:val="heading 2"/>
    <w:basedOn w:val="5"/>
    <w:next w:val="6"/>
    <w:link w:val="53"/>
    <w:autoRedefine/>
    <w:qFormat/>
    <w:uiPriority w:val="0"/>
    <w:pPr>
      <w:keepNext/>
      <w:keepLines/>
      <w:spacing w:before="260" w:after="260" w:line="416" w:lineRule="auto"/>
      <w:outlineLvl w:val="1"/>
    </w:pPr>
    <w:rPr>
      <w:rFonts w:ascii="Arial" w:hAnsi="Arial" w:eastAsia="黑体"/>
      <w:sz w:val="32"/>
      <w:szCs w:val="32"/>
    </w:rPr>
  </w:style>
  <w:style w:type="paragraph" w:styleId="5">
    <w:name w:val="heading 3"/>
    <w:basedOn w:val="1"/>
    <w:next w:val="1"/>
    <w:link w:val="54"/>
    <w:autoRedefine/>
    <w:qFormat/>
    <w:uiPriority w:val="0"/>
    <w:pPr>
      <w:spacing w:before="260" w:after="260" w:line="416" w:lineRule="auto"/>
      <w:outlineLvl w:val="2"/>
    </w:pPr>
    <w:rPr>
      <w:sz w:val="32"/>
      <w:szCs w:val="32"/>
    </w:rPr>
  </w:style>
  <w:style w:type="paragraph" w:styleId="6">
    <w:name w:val="heading 4"/>
    <w:basedOn w:val="1"/>
    <w:next w:val="1"/>
    <w:link w:val="55"/>
    <w:autoRedefine/>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89"/>
    <w:autoRedefine/>
    <w:qFormat/>
    <w:uiPriority w:val="0"/>
    <w:pPr>
      <w:keepNext/>
      <w:keepLines/>
      <w:spacing w:before="280" w:after="290" w:line="376" w:lineRule="auto"/>
      <w:outlineLvl w:val="4"/>
    </w:pPr>
    <w:rPr>
      <w:b/>
      <w:bCs/>
      <w:sz w:val="28"/>
      <w:szCs w:val="28"/>
    </w:rPr>
  </w:style>
  <w:style w:type="paragraph" w:styleId="8">
    <w:name w:val="heading 6"/>
    <w:basedOn w:val="1"/>
    <w:next w:val="1"/>
    <w:link w:val="90"/>
    <w:autoRedefine/>
    <w:qFormat/>
    <w:uiPriority w:val="0"/>
    <w:pPr>
      <w:keepNext/>
      <w:keepLines/>
      <w:spacing w:before="240" w:after="64" w:line="320" w:lineRule="auto"/>
      <w:outlineLvl w:val="5"/>
    </w:pPr>
    <w:rPr>
      <w:rFonts w:ascii="Cambria" w:hAnsi="Cambria"/>
      <w:b/>
      <w:bCs/>
      <w:sz w:val="24"/>
    </w:rPr>
  </w:style>
  <w:style w:type="paragraph" w:styleId="9">
    <w:name w:val="heading 7"/>
    <w:basedOn w:val="1"/>
    <w:next w:val="1"/>
    <w:link w:val="91"/>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92"/>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93"/>
    <w:autoRedefine/>
    <w:qFormat/>
    <w:uiPriority w:val="0"/>
    <w:pPr>
      <w:keepNext/>
      <w:keepLines/>
      <w:tabs>
        <w:tab w:val="left" w:pos="1584"/>
      </w:tabs>
      <w:spacing w:before="240" w:after="64" w:line="320" w:lineRule="auto"/>
      <w:ind w:left="1584" w:hanging="1584"/>
      <w:outlineLvl w:val="8"/>
    </w:pPr>
    <w:rPr>
      <w:rFonts w:ascii="Arial" w:hAnsi="Arial" w:eastAsia="黑体"/>
      <w:sz w:val="24"/>
      <w:szCs w:val="21"/>
    </w:rPr>
  </w:style>
  <w:style w:type="character" w:default="1" w:styleId="46">
    <w:name w:val="Default Paragraph Font"/>
    <w:autoRedefine/>
    <w:semiHidden/>
    <w:unhideWhenUsed/>
    <w:qFormat/>
    <w:uiPriority w:val="1"/>
  </w:style>
  <w:style w:type="table" w:default="1" w:styleId="44">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link w:val="72"/>
    <w:autoRedefine/>
    <w:qFormat/>
    <w:uiPriority w:val="0"/>
    <w:pPr>
      <w:spacing w:after="120"/>
    </w:pPr>
  </w:style>
  <w:style w:type="paragraph" w:styleId="12">
    <w:name w:val="toc 7"/>
    <w:basedOn w:val="1"/>
    <w:next w:val="1"/>
    <w:autoRedefine/>
    <w:unhideWhenUsed/>
    <w:qFormat/>
    <w:uiPriority w:val="0"/>
    <w:pPr>
      <w:ind w:left="1260"/>
      <w:jc w:val="left"/>
    </w:pPr>
    <w:rPr>
      <w:rFonts w:ascii="Calibri" w:hAnsi="Calibri"/>
      <w:sz w:val="18"/>
      <w:szCs w:val="18"/>
    </w:rPr>
  </w:style>
  <w:style w:type="paragraph" w:styleId="13">
    <w:name w:val="Normal Indent"/>
    <w:basedOn w:val="1"/>
    <w:link w:val="70"/>
    <w:autoRedefine/>
    <w:qFormat/>
    <w:uiPriority w:val="0"/>
    <w:pPr>
      <w:ind w:firstLine="420" w:firstLineChars="200"/>
    </w:pPr>
    <w:rPr>
      <w:kern w:val="0"/>
      <w:sz w:val="20"/>
    </w:rPr>
  </w:style>
  <w:style w:type="paragraph" w:styleId="14">
    <w:name w:val="caption"/>
    <w:basedOn w:val="1"/>
    <w:next w:val="1"/>
    <w:link w:val="140"/>
    <w:autoRedefine/>
    <w:qFormat/>
    <w:uiPriority w:val="0"/>
    <w:pPr>
      <w:numPr>
        <w:ilvl w:val="0"/>
        <w:numId w:val="1"/>
      </w:numPr>
      <w:spacing w:line="360" w:lineRule="auto"/>
      <w:jc w:val="center"/>
    </w:pPr>
    <w:rPr>
      <w:rFonts w:ascii="Arial Unicode MS" w:hAnsi="Arial Unicode MS"/>
      <w:kern w:val="0"/>
      <w:sz w:val="20"/>
      <w:szCs w:val="20"/>
    </w:rPr>
  </w:style>
  <w:style w:type="paragraph" w:styleId="15">
    <w:name w:val="List Bullet"/>
    <w:basedOn w:val="1"/>
    <w:autoRedefine/>
    <w:qFormat/>
    <w:uiPriority w:val="0"/>
    <w:pPr>
      <w:widowControl/>
      <w:numPr>
        <w:ilvl w:val="0"/>
        <w:numId w:val="2"/>
      </w:numPr>
      <w:spacing w:beforeLines="50" w:afterLines="50"/>
      <w:ind w:firstLine="0"/>
      <w:jc w:val="left"/>
    </w:pPr>
    <w:rPr>
      <w:kern w:val="0"/>
      <w:sz w:val="20"/>
      <w:szCs w:val="20"/>
    </w:rPr>
  </w:style>
  <w:style w:type="paragraph" w:styleId="16">
    <w:name w:val="Document Map"/>
    <w:basedOn w:val="1"/>
    <w:link w:val="71"/>
    <w:autoRedefine/>
    <w:qFormat/>
    <w:uiPriority w:val="0"/>
    <w:pPr>
      <w:shd w:val="clear" w:color="auto" w:fill="000080"/>
    </w:pPr>
  </w:style>
  <w:style w:type="paragraph" w:styleId="17">
    <w:name w:val="annotation text"/>
    <w:basedOn w:val="1"/>
    <w:link w:val="73"/>
    <w:autoRedefine/>
    <w:qFormat/>
    <w:uiPriority w:val="0"/>
    <w:pPr>
      <w:jc w:val="left"/>
    </w:pPr>
  </w:style>
  <w:style w:type="paragraph" w:styleId="18">
    <w:name w:val="Body Text 3"/>
    <w:basedOn w:val="1"/>
    <w:link w:val="200"/>
    <w:autoRedefine/>
    <w:qFormat/>
    <w:uiPriority w:val="0"/>
    <w:pPr>
      <w:spacing w:after="120"/>
    </w:pPr>
    <w:rPr>
      <w:sz w:val="16"/>
      <w:szCs w:val="16"/>
    </w:rPr>
  </w:style>
  <w:style w:type="paragraph" w:styleId="19">
    <w:name w:val="Body Text Indent"/>
    <w:basedOn w:val="1"/>
    <w:link w:val="95"/>
    <w:autoRedefine/>
    <w:qFormat/>
    <w:uiPriority w:val="0"/>
    <w:pPr>
      <w:spacing w:after="120"/>
      <w:ind w:left="420" w:leftChars="200"/>
    </w:pPr>
  </w:style>
  <w:style w:type="paragraph" w:styleId="20">
    <w:name w:val="toc 5"/>
    <w:basedOn w:val="1"/>
    <w:next w:val="1"/>
    <w:autoRedefine/>
    <w:unhideWhenUsed/>
    <w:qFormat/>
    <w:uiPriority w:val="0"/>
    <w:pPr>
      <w:ind w:left="840"/>
      <w:jc w:val="left"/>
    </w:pPr>
    <w:rPr>
      <w:rFonts w:ascii="Calibri" w:hAnsi="Calibri"/>
      <w:sz w:val="18"/>
      <w:szCs w:val="18"/>
    </w:rPr>
  </w:style>
  <w:style w:type="paragraph" w:styleId="21">
    <w:name w:val="toc 3"/>
    <w:basedOn w:val="1"/>
    <w:next w:val="1"/>
    <w:autoRedefine/>
    <w:unhideWhenUsed/>
    <w:qFormat/>
    <w:uiPriority w:val="39"/>
    <w:pPr>
      <w:ind w:left="420"/>
      <w:jc w:val="left"/>
    </w:pPr>
    <w:rPr>
      <w:rFonts w:ascii="Calibri" w:hAnsi="Calibri"/>
      <w:i/>
      <w:iCs/>
      <w:sz w:val="20"/>
      <w:szCs w:val="20"/>
    </w:rPr>
  </w:style>
  <w:style w:type="paragraph" w:styleId="22">
    <w:name w:val="Plain Text"/>
    <w:basedOn w:val="1"/>
    <w:link w:val="67"/>
    <w:autoRedefine/>
    <w:qFormat/>
    <w:uiPriority w:val="0"/>
    <w:rPr>
      <w:rFonts w:ascii="宋体" w:hAnsi="Courier New"/>
      <w:szCs w:val="20"/>
    </w:rPr>
  </w:style>
  <w:style w:type="paragraph" w:styleId="23">
    <w:name w:val="toc 8"/>
    <w:basedOn w:val="1"/>
    <w:next w:val="1"/>
    <w:autoRedefine/>
    <w:unhideWhenUsed/>
    <w:qFormat/>
    <w:uiPriority w:val="0"/>
    <w:pPr>
      <w:ind w:left="1470"/>
      <w:jc w:val="left"/>
    </w:pPr>
    <w:rPr>
      <w:rFonts w:ascii="Calibri" w:hAnsi="Calibri"/>
      <w:sz w:val="18"/>
      <w:szCs w:val="18"/>
    </w:rPr>
  </w:style>
  <w:style w:type="paragraph" w:styleId="24">
    <w:name w:val="Date"/>
    <w:basedOn w:val="1"/>
    <w:next w:val="1"/>
    <w:link w:val="199"/>
    <w:autoRedefine/>
    <w:qFormat/>
    <w:uiPriority w:val="0"/>
    <w:pPr>
      <w:ind w:left="100" w:leftChars="2500"/>
    </w:pPr>
  </w:style>
  <w:style w:type="paragraph" w:styleId="25">
    <w:name w:val="Body Text Indent 2"/>
    <w:basedOn w:val="1"/>
    <w:link w:val="94"/>
    <w:autoRedefine/>
    <w:qFormat/>
    <w:uiPriority w:val="0"/>
    <w:pPr>
      <w:spacing w:after="120" w:line="480" w:lineRule="auto"/>
      <w:ind w:left="420" w:leftChars="200"/>
    </w:pPr>
  </w:style>
  <w:style w:type="paragraph" w:styleId="26">
    <w:name w:val="Balloon Text"/>
    <w:basedOn w:val="1"/>
    <w:link w:val="75"/>
    <w:autoRedefine/>
    <w:qFormat/>
    <w:uiPriority w:val="0"/>
    <w:rPr>
      <w:sz w:val="18"/>
      <w:szCs w:val="18"/>
    </w:rPr>
  </w:style>
  <w:style w:type="paragraph" w:styleId="27">
    <w:name w:val="footer"/>
    <w:basedOn w:val="1"/>
    <w:link w:val="57"/>
    <w:autoRedefine/>
    <w:qFormat/>
    <w:uiPriority w:val="99"/>
    <w:pPr>
      <w:tabs>
        <w:tab w:val="center" w:pos="4153"/>
        <w:tab w:val="right" w:pos="8306"/>
      </w:tabs>
      <w:snapToGrid w:val="0"/>
      <w:jc w:val="left"/>
    </w:pPr>
    <w:rPr>
      <w:sz w:val="18"/>
      <w:szCs w:val="18"/>
    </w:rPr>
  </w:style>
  <w:style w:type="paragraph" w:styleId="28">
    <w:name w:val="envelope return"/>
    <w:basedOn w:val="1"/>
    <w:autoRedefine/>
    <w:unhideWhenUsed/>
    <w:qFormat/>
    <w:uiPriority w:val="99"/>
    <w:pPr>
      <w:snapToGrid w:val="0"/>
    </w:pPr>
    <w:rPr>
      <w:rFonts w:ascii="Arial" w:hAnsi="Arial"/>
    </w:rPr>
  </w:style>
  <w:style w:type="paragraph" w:styleId="29">
    <w:name w:val="header"/>
    <w:basedOn w:val="1"/>
    <w:link w:val="56"/>
    <w:autoRedefine/>
    <w:qFormat/>
    <w:uiPriority w:val="0"/>
    <w:pPr>
      <w:pBdr>
        <w:bottom w:val="single" w:color="auto" w:sz="6" w:space="0"/>
      </w:pBdr>
      <w:tabs>
        <w:tab w:val="center" w:pos="4153"/>
        <w:tab w:val="right" w:pos="8306"/>
      </w:tabs>
      <w:snapToGrid w:val="0"/>
      <w:jc w:val="center"/>
    </w:pPr>
    <w:rPr>
      <w:sz w:val="18"/>
      <w:szCs w:val="18"/>
    </w:rPr>
  </w:style>
  <w:style w:type="paragraph" w:styleId="30">
    <w:name w:val="toc 1"/>
    <w:basedOn w:val="1"/>
    <w:next w:val="1"/>
    <w:autoRedefine/>
    <w:qFormat/>
    <w:uiPriority w:val="39"/>
    <w:pPr>
      <w:spacing w:before="120" w:after="120"/>
      <w:jc w:val="left"/>
    </w:pPr>
    <w:rPr>
      <w:rFonts w:ascii="Calibri" w:hAnsi="Calibri"/>
      <w:b/>
      <w:bCs/>
      <w:caps/>
      <w:sz w:val="20"/>
      <w:szCs w:val="20"/>
    </w:rPr>
  </w:style>
  <w:style w:type="paragraph" w:styleId="31">
    <w:name w:val="toc 4"/>
    <w:basedOn w:val="1"/>
    <w:next w:val="1"/>
    <w:autoRedefine/>
    <w:unhideWhenUsed/>
    <w:qFormat/>
    <w:uiPriority w:val="0"/>
    <w:pPr>
      <w:ind w:left="630"/>
      <w:jc w:val="left"/>
    </w:pPr>
    <w:rPr>
      <w:rFonts w:ascii="Calibri" w:hAnsi="Calibri"/>
      <w:sz w:val="18"/>
      <w:szCs w:val="18"/>
    </w:rPr>
  </w:style>
  <w:style w:type="paragraph" w:styleId="32">
    <w:name w:val="toc 6"/>
    <w:basedOn w:val="1"/>
    <w:next w:val="1"/>
    <w:autoRedefine/>
    <w:unhideWhenUsed/>
    <w:qFormat/>
    <w:uiPriority w:val="0"/>
    <w:pPr>
      <w:ind w:left="1050"/>
      <w:jc w:val="left"/>
    </w:pPr>
    <w:rPr>
      <w:rFonts w:ascii="Calibri" w:hAnsi="Calibri"/>
      <w:sz w:val="18"/>
      <w:szCs w:val="18"/>
    </w:rPr>
  </w:style>
  <w:style w:type="paragraph" w:styleId="33">
    <w:name w:val="Body Text Indent 3"/>
    <w:basedOn w:val="1"/>
    <w:link w:val="146"/>
    <w:autoRedefine/>
    <w:qFormat/>
    <w:uiPriority w:val="0"/>
    <w:pPr>
      <w:spacing w:after="120"/>
      <w:ind w:left="420" w:leftChars="200"/>
    </w:pPr>
    <w:rPr>
      <w:sz w:val="16"/>
      <w:szCs w:val="16"/>
    </w:rPr>
  </w:style>
  <w:style w:type="paragraph" w:styleId="34">
    <w:name w:val="toc 2"/>
    <w:basedOn w:val="1"/>
    <w:next w:val="1"/>
    <w:autoRedefine/>
    <w:unhideWhenUsed/>
    <w:qFormat/>
    <w:uiPriority w:val="39"/>
    <w:pPr>
      <w:ind w:left="210"/>
      <w:jc w:val="left"/>
    </w:pPr>
    <w:rPr>
      <w:rFonts w:ascii="Calibri" w:hAnsi="Calibri"/>
      <w:smallCaps/>
      <w:sz w:val="20"/>
      <w:szCs w:val="20"/>
    </w:rPr>
  </w:style>
  <w:style w:type="paragraph" w:styleId="35">
    <w:name w:val="toc 9"/>
    <w:basedOn w:val="1"/>
    <w:next w:val="1"/>
    <w:autoRedefine/>
    <w:unhideWhenUsed/>
    <w:qFormat/>
    <w:uiPriority w:val="0"/>
    <w:pPr>
      <w:ind w:left="1680"/>
      <w:jc w:val="left"/>
    </w:pPr>
    <w:rPr>
      <w:rFonts w:ascii="Calibri" w:hAnsi="Calibri"/>
      <w:sz w:val="18"/>
      <w:szCs w:val="18"/>
    </w:rPr>
  </w:style>
  <w:style w:type="paragraph" w:styleId="36">
    <w:name w:val="Body Text 2"/>
    <w:basedOn w:val="1"/>
    <w:link w:val="147"/>
    <w:autoRedefine/>
    <w:qFormat/>
    <w:uiPriority w:val="0"/>
    <w:pPr>
      <w:spacing w:after="120" w:line="480" w:lineRule="auto"/>
    </w:pPr>
  </w:style>
  <w:style w:type="paragraph" w:styleId="37">
    <w:name w:val="HTML Preformatted"/>
    <w:basedOn w:val="1"/>
    <w:link w:val="6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8">
    <w:name w:val="Normal (Web)"/>
    <w:basedOn w:val="1"/>
    <w:autoRedefine/>
    <w:qFormat/>
    <w:uiPriority w:val="99"/>
    <w:pPr>
      <w:widowControl/>
      <w:spacing w:before="100" w:beforeAutospacing="1" w:after="100" w:afterAutospacing="1"/>
      <w:jc w:val="left"/>
    </w:pPr>
    <w:rPr>
      <w:kern w:val="0"/>
      <w:sz w:val="24"/>
    </w:rPr>
  </w:style>
  <w:style w:type="paragraph" w:styleId="39">
    <w:name w:val="index 1"/>
    <w:basedOn w:val="1"/>
    <w:next w:val="1"/>
    <w:autoRedefine/>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40">
    <w:name w:val="Title"/>
    <w:basedOn w:val="1"/>
    <w:link w:val="59"/>
    <w:autoRedefine/>
    <w:qFormat/>
    <w:uiPriority w:val="0"/>
    <w:pPr>
      <w:spacing w:before="240" w:after="60"/>
      <w:jc w:val="center"/>
      <w:outlineLvl w:val="0"/>
    </w:pPr>
    <w:rPr>
      <w:rFonts w:ascii="Arial" w:hAnsi="Arial" w:eastAsia="隶书" w:cs="Arial"/>
      <w:b/>
      <w:bCs/>
      <w:sz w:val="32"/>
      <w:szCs w:val="32"/>
    </w:rPr>
  </w:style>
  <w:style w:type="paragraph" w:styleId="41">
    <w:name w:val="annotation subject"/>
    <w:basedOn w:val="17"/>
    <w:next w:val="17"/>
    <w:link w:val="74"/>
    <w:autoRedefine/>
    <w:semiHidden/>
    <w:qFormat/>
    <w:uiPriority w:val="0"/>
    <w:rPr>
      <w:b/>
      <w:bCs/>
    </w:rPr>
  </w:style>
  <w:style w:type="paragraph" w:styleId="42">
    <w:name w:val="Body Text First Indent"/>
    <w:basedOn w:val="2"/>
    <w:link w:val="240"/>
    <w:autoRedefine/>
    <w:qFormat/>
    <w:uiPriority w:val="0"/>
    <w:pPr>
      <w:ind w:firstLine="420" w:firstLineChars="100"/>
    </w:pPr>
    <w:rPr>
      <w:b/>
      <w:bCs/>
    </w:rPr>
  </w:style>
  <w:style w:type="paragraph" w:styleId="43">
    <w:name w:val="Body Text First Indent 2"/>
    <w:basedOn w:val="19"/>
    <w:link w:val="108"/>
    <w:autoRedefine/>
    <w:qFormat/>
    <w:uiPriority w:val="0"/>
    <w:pPr>
      <w:ind w:firstLine="420" w:firstLineChars="200"/>
    </w:pPr>
  </w:style>
  <w:style w:type="table" w:styleId="45">
    <w:name w:val="Table Grid"/>
    <w:basedOn w:val="4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autoRedefine/>
    <w:qFormat/>
    <w:uiPriority w:val="0"/>
    <w:rPr>
      <w:b/>
      <w:bCs/>
    </w:rPr>
  </w:style>
  <w:style w:type="character" w:styleId="48">
    <w:name w:val="page number"/>
    <w:basedOn w:val="46"/>
    <w:autoRedefine/>
    <w:qFormat/>
    <w:uiPriority w:val="0"/>
  </w:style>
  <w:style w:type="character" w:styleId="49">
    <w:name w:val="Emphasis"/>
    <w:autoRedefine/>
    <w:qFormat/>
    <w:uiPriority w:val="0"/>
    <w:rPr>
      <w:rFonts w:ascii="仿宋_GB2312" w:eastAsia="仿宋_GB2312"/>
      <w:b/>
      <w:color w:val="CC0000"/>
      <w:kern w:val="2"/>
      <w:sz w:val="28"/>
      <w:szCs w:val="28"/>
      <w:lang w:val="en-US" w:eastAsia="zh-CN" w:bidi="ar-SA"/>
    </w:rPr>
  </w:style>
  <w:style w:type="character" w:styleId="50">
    <w:name w:val="Hyperlink"/>
    <w:basedOn w:val="46"/>
    <w:autoRedefine/>
    <w:qFormat/>
    <w:uiPriority w:val="99"/>
    <w:rPr>
      <w:color w:val="0000FF"/>
      <w:u w:val="single"/>
    </w:rPr>
  </w:style>
  <w:style w:type="character" w:styleId="51">
    <w:name w:val="annotation reference"/>
    <w:autoRedefine/>
    <w:semiHidden/>
    <w:qFormat/>
    <w:uiPriority w:val="0"/>
    <w:rPr>
      <w:sz w:val="21"/>
      <w:szCs w:val="21"/>
    </w:rPr>
  </w:style>
  <w:style w:type="character" w:customStyle="1" w:styleId="52">
    <w:name w:val="标题 1 Char"/>
    <w:link w:val="3"/>
    <w:autoRedefine/>
    <w:qFormat/>
    <w:uiPriority w:val="0"/>
    <w:rPr>
      <w:rFonts w:ascii="Arial" w:hAnsi="Arial" w:eastAsia="黑体" w:cs="Times New Roman"/>
      <w:kern w:val="44"/>
      <w:sz w:val="32"/>
      <w:szCs w:val="32"/>
    </w:rPr>
  </w:style>
  <w:style w:type="character" w:customStyle="1" w:styleId="53">
    <w:name w:val="标题 2 Char"/>
    <w:link w:val="4"/>
    <w:autoRedefine/>
    <w:qFormat/>
    <w:uiPriority w:val="0"/>
    <w:rPr>
      <w:rFonts w:ascii="Arial" w:hAnsi="Arial" w:eastAsia="黑体" w:cs="Times New Roman"/>
      <w:b/>
      <w:bCs/>
      <w:sz w:val="32"/>
      <w:szCs w:val="32"/>
    </w:rPr>
  </w:style>
  <w:style w:type="character" w:customStyle="1" w:styleId="54">
    <w:name w:val="标题 3 Char"/>
    <w:link w:val="5"/>
    <w:autoRedefine/>
    <w:qFormat/>
    <w:uiPriority w:val="0"/>
    <w:rPr>
      <w:rFonts w:ascii="Times New Roman" w:hAnsi="Times New Roman" w:eastAsia="宋体" w:cs="Times New Roman"/>
      <w:b/>
      <w:bCs/>
      <w:sz w:val="32"/>
      <w:szCs w:val="32"/>
    </w:rPr>
  </w:style>
  <w:style w:type="character" w:customStyle="1" w:styleId="55">
    <w:name w:val="标题 4 Char"/>
    <w:link w:val="6"/>
    <w:autoRedefine/>
    <w:qFormat/>
    <w:uiPriority w:val="0"/>
    <w:rPr>
      <w:rFonts w:ascii="Arial" w:hAnsi="Arial" w:eastAsia="黑体" w:cs="Times New Roman"/>
      <w:b/>
      <w:bCs/>
      <w:sz w:val="28"/>
      <w:szCs w:val="28"/>
    </w:rPr>
  </w:style>
  <w:style w:type="character" w:customStyle="1" w:styleId="56">
    <w:name w:val="页眉 Char"/>
    <w:link w:val="29"/>
    <w:autoRedefine/>
    <w:qFormat/>
    <w:uiPriority w:val="0"/>
    <w:rPr>
      <w:rFonts w:ascii="Times New Roman" w:hAnsi="Times New Roman" w:eastAsia="宋体" w:cs="Times New Roman"/>
      <w:sz w:val="18"/>
      <w:szCs w:val="18"/>
    </w:rPr>
  </w:style>
  <w:style w:type="character" w:customStyle="1" w:styleId="57">
    <w:name w:val="页脚 Char"/>
    <w:link w:val="27"/>
    <w:autoRedefine/>
    <w:qFormat/>
    <w:uiPriority w:val="99"/>
    <w:rPr>
      <w:rFonts w:ascii="Times New Roman" w:hAnsi="Times New Roman" w:eastAsia="宋体" w:cs="Times New Roman"/>
      <w:sz w:val="18"/>
      <w:szCs w:val="18"/>
    </w:rPr>
  </w:style>
  <w:style w:type="paragraph" w:customStyle="1" w:styleId="58">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59">
    <w:name w:val="标题 Char"/>
    <w:link w:val="40"/>
    <w:autoRedefine/>
    <w:qFormat/>
    <w:uiPriority w:val="0"/>
    <w:rPr>
      <w:rFonts w:ascii="Arial" w:hAnsi="Arial" w:eastAsia="隶书" w:cs="Arial"/>
      <w:b/>
      <w:bCs/>
      <w:sz w:val="32"/>
      <w:szCs w:val="32"/>
    </w:rPr>
  </w:style>
  <w:style w:type="paragraph" w:customStyle="1" w:styleId="60">
    <w:name w:val="样式1 Char Char"/>
    <w:basedOn w:val="1"/>
    <w:next w:val="1"/>
    <w:link w:val="61"/>
    <w:autoRedefine/>
    <w:qFormat/>
    <w:uiPriority w:val="0"/>
    <w:pPr>
      <w:spacing w:line="360" w:lineRule="auto"/>
      <w:ind w:firstLine="516" w:firstLineChars="215"/>
    </w:pPr>
    <w:rPr>
      <w:kern w:val="0"/>
      <w:sz w:val="24"/>
      <w:szCs w:val="20"/>
    </w:rPr>
  </w:style>
  <w:style w:type="character" w:customStyle="1" w:styleId="61">
    <w:name w:val="样式1 Char Char Char"/>
    <w:link w:val="60"/>
    <w:autoRedefine/>
    <w:qFormat/>
    <w:uiPriority w:val="0"/>
    <w:rPr>
      <w:rFonts w:ascii="Times New Roman" w:hAnsi="Times New Roman" w:eastAsia="宋体" w:cs="Times New Roman"/>
      <w:sz w:val="24"/>
      <w:szCs w:val="20"/>
    </w:rPr>
  </w:style>
  <w:style w:type="character" w:customStyle="1" w:styleId="62">
    <w:name w:val="HTML 预设格式 Char"/>
    <w:link w:val="37"/>
    <w:autoRedefine/>
    <w:qFormat/>
    <w:uiPriority w:val="0"/>
    <w:rPr>
      <w:rFonts w:ascii="宋体" w:hAnsi="宋体" w:eastAsia="宋体" w:cs="宋体"/>
      <w:kern w:val="0"/>
      <w:sz w:val="24"/>
      <w:szCs w:val="24"/>
    </w:rPr>
  </w:style>
  <w:style w:type="paragraph" w:customStyle="1" w:styleId="63">
    <w:name w:val="样式1"/>
    <w:basedOn w:val="40"/>
    <w:link w:val="64"/>
    <w:autoRedefine/>
    <w:qFormat/>
    <w:uiPriority w:val="0"/>
    <w:pPr>
      <w:spacing w:before="120" w:after="120"/>
    </w:pPr>
    <w:rPr>
      <w:rFonts w:eastAsia="黑体" w:cs="Times New Roman"/>
      <w:b w:val="0"/>
      <w:kern w:val="0"/>
      <w:sz w:val="30"/>
      <w:szCs w:val="21"/>
    </w:rPr>
  </w:style>
  <w:style w:type="character" w:customStyle="1" w:styleId="64">
    <w:name w:val="样式1 Char"/>
    <w:link w:val="63"/>
    <w:autoRedefine/>
    <w:qFormat/>
    <w:uiPriority w:val="0"/>
    <w:rPr>
      <w:rFonts w:ascii="Arial" w:hAnsi="Arial" w:eastAsia="黑体" w:cs="Arial"/>
      <w:bCs/>
      <w:sz w:val="30"/>
      <w:szCs w:val="21"/>
    </w:rPr>
  </w:style>
  <w:style w:type="paragraph" w:customStyle="1" w:styleId="65">
    <w:name w:val="Char Char Char 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6">
    <w:name w:val="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67">
    <w:name w:val="纯文本 Char"/>
    <w:link w:val="22"/>
    <w:autoRedefine/>
    <w:qFormat/>
    <w:uiPriority w:val="0"/>
    <w:rPr>
      <w:rFonts w:ascii="宋体" w:hAnsi="Courier New" w:eastAsia="宋体" w:cs="Times New Roman"/>
      <w:szCs w:val="20"/>
    </w:rPr>
  </w:style>
  <w:style w:type="paragraph" w:customStyle="1" w:styleId="68">
    <w:name w:val="inf"/>
    <w:basedOn w:val="1"/>
    <w:autoRedefine/>
    <w:qFormat/>
    <w:uiPriority w:val="0"/>
    <w:pPr>
      <w:widowControl/>
      <w:spacing w:before="100" w:beforeAutospacing="1" w:after="100" w:afterAutospacing="1" w:line="320" w:lineRule="atLeast"/>
      <w:jc w:val="left"/>
    </w:pPr>
    <w:rPr>
      <w:rFonts w:ascii="宋体" w:hAnsi="宋体" w:cs="宋体"/>
      <w:color w:val="000000"/>
      <w:kern w:val="0"/>
      <w:sz w:val="20"/>
      <w:szCs w:val="20"/>
    </w:rPr>
  </w:style>
  <w:style w:type="paragraph" w:customStyle="1" w:styleId="69">
    <w:name w:val="Char11"/>
    <w:basedOn w:val="1"/>
    <w:autoRedefine/>
    <w:qFormat/>
    <w:uiPriority w:val="0"/>
    <w:rPr>
      <w:rFonts w:ascii="仿宋_GB2312" w:eastAsia="仿宋_GB2312"/>
      <w:b/>
      <w:sz w:val="32"/>
      <w:szCs w:val="32"/>
    </w:rPr>
  </w:style>
  <w:style w:type="character" w:customStyle="1" w:styleId="70">
    <w:name w:val="正文缩进 Char"/>
    <w:link w:val="13"/>
    <w:autoRedefine/>
    <w:qFormat/>
    <w:uiPriority w:val="0"/>
    <w:rPr>
      <w:rFonts w:ascii="Times New Roman" w:hAnsi="Times New Roman" w:eastAsia="宋体" w:cs="Times New Roman"/>
      <w:szCs w:val="24"/>
    </w:rPr>
  </w:style>
  <w:style w:type="character" w:customStyle="1" w:styleId="71">
    <w:name w:val="文档结构图 Char"/>
    <w:link w:val="16"/>
    <w:autoRedefine/>
    <w:qFormat/>
    <w:uiPriority w:val="0"/>
    <w:rPr>
      <w:rFonts w:ascii="Times New Roman" w:hAnsi="Times New Roman" w:eastAsia="宋体" w:cs="Times New Roman"/>
      <w:szCs w:val="24"/>
      <w:shd w:val="clear" w:color="auto" w:fill="000080"/>
    </w:rPr>
  </w:style>
  <w:style w:type="character" w:customStyle="1" w:styleId="72">
    <w:name w:val="正文文本 Char"/>
    <w:link w:val="2"/>
    <w:autoRedefine/>
    <w:qFormat/>
    <w:uiPriority w:val="0"/>
    <w:rPr>
      <w:rFonts w:ascii="Times New Roman" w:hAnsi="Times New Roman" w:eastAsia="宋体" w:cs="Times New Roman"/>
      <w:szCs w:val="24"/>
    </w:rPr>
  </w:style>
  <w:style w:type="character" w:customStyle="1" w:styleId="73">
    <w:name w:val="批注文字 Char"/>
    <w:link w:val="17"/>
    <w:autoRedefine/>
    <w:qFormat/>
    <w:uiPriority w:val="0"/>
    <w:rPr>
      <w:rFonts w:ascii="Times New Roman" w:hAnsi="Times New Roman" w:eastAsia="宋体" w:cs="Times New Roman"/>
      <w:szCs w:val="24"/>
    </w:rPr>
  </w:style>
  <w:style w:type="character" w:customStyle="1" w:styleId="74">
    <w:name w:val="批注主题 Char"/>
    <w:link w:val="41"/>
    <w:autoRedefine/>
    <w:semiHidden/>
    <w:qFormat/>
    <w:uiPriority w:val="0"/>
    <w:rPr>
      <w:rFonts w:ascii="Times New Roman" w:hAnsi="Times New Roman" w:eastAsia="宋体" w:cs="Times New Roman"/>
      <w:b/>
      <w:bCs/>
      <w:szCs w:val="24"/>
    </w:rPr>
  </w:style>
  <w:style w:type="character" w:customStyle="1" w:styleId="75">
    <w:name w:val="批注框文本 Char"/>
    <w:link w:val="26"/>
    <w:autoRedefine/>
    <w:qFormat/>
    <w:uiPriority w:val="0"/>
    <w:rPr>
      <w:rFonts w:ascii="Times New Roman" w:hAnsi="Times New Roman" w:eastAsia="宋体" w:cs="Times New Roman"/>
      <w:sz w:val="18"/>
      <w:szCs w:val="18"/>
    </w:rPr>
  </w:style>
  <w:style w:type="paragraph" w:customStyle="1" w:styleId="76">
    <w:name w:val="USE 1"/>
    <w:basedOn w:val="1"/>
    <w:autoRedefine/>
    <w:qFormat/>
    <w:uiPriority w:val="0"/>
    <w:pPr>
      <w:spacing w:line="200" w:lineRule="atLeast"/>
      <w:jc w:val="left"/>
    </w:pPr>
    <w:rPr>
      <w:rFonts w:ascii="宋体" w:hAnsi="宋体"/>
      <w:b/>
      <w:sz w:val="24"/>
      <w:szCs w:val="28"/>
    </w:rPr>
  </w:style>
  <w:style w:type="character" w:customStyle="1" w:styleId="77">
    <w:name w:val="正文缩进2格 Char"/>
    <w:link w:val="78"/>
    <w:autoRedefine/>
    <w:qFormat/>
    <w:locked/>
    <w:uiPriority w:val="0"/>
    <w:rPr>
      <w:rFonts w:ascii="仿宋_GB2312" w:hAnsi="宋体" w:eastAsia="仿宋_GB2312"/>
      <w:sz w:val="28"/>
    </w:rPr>
  </w:style>
  <w:style w:type="paragraph" w:customStyle="1" w:styleId="78">
    <w:name w:val="正文缩进2格"/>
    <w:basedOn w:val="1"/>
    <w:link w:val="77"/>
    <w:autoRedefine/>
    <w:qFormat/>
    <w:uiPriority w:val="0"/>
    <w:pPr>
      <w:spacing w:line="600" w:lineRule="exact"/>
      <w:ind w:firstLine="639" w:firstLineChars="206"/>
    </w:pPr>
    <w:rPr>
      <w:rFonts w:ascii="仿宋_GB2312" w:hAnsi="宋体" w:eastAsia="仿宋_GB2312"/>
      <w:kern w:val="0"/>
      <w:sz w:val="28"/>
      <w:szCs w:val="20"/>
    </w:rPr>
  </w:style>
  <w:style w:type="paragraph" w:customStyle="1" w:styleId="79">
    <w:name w:val="样式2"/>
    <w:basedOn w:val="17"/>
    <w:link w:val="80"/>
    <w:autoRedefine/>
    <w:qFormat/>
    <w:uiPriority w:val="0"/>
    <w:rPr>
      <w:kern w:val="0"/>
      <w:sz w:val="20"/>
    </w:rPr>
  </w:style>
  <w:style w:type="character" w:customStyle="1" w:styleId="80">
    <w:name w:val="样式2 Char"/>
    <w:link w:val="79"/>
    <w:autoRedefine/>
    <w:qFormat/>
    <w:uiPriority w:val="0"/>
    <w:rPr>
      <w:rFonts w:ascii="Times New Roman" w:hAnsi="Times New Roman" w:eastAsia="宋体" w:cs="Times New Roman"/>
      <w:szCs w:val="24"/>
    </w:rPr>
  </w:style>
  <w:style w:type="paragraph" w:customStyle="1" w:styleId="81">
    <w:name w:val="列出段落1"/>
    <w:basedOn w:val="1"/>
    <w:autoRedefine/>
    <w:qFormat/>
    <w:uiPriority w:val="34"/>
    <w:pPr>
      <w:ind w:firstLine="420" w:firstLineChars="200"/>
    </w:pPr>
  </w:style>
  <w:style w:type="paragraph" w:customStyle="1" w:styleId="82">
    <w:name w:val="列出段落2"/>
    <w:basedOn w:val="1"/>
    <w:link w:val="116"/>
    <w:autoRedefine/>
    <w:qFormat/>
    <w:uiPriority w:val="34"/>
    <w:pPr>
      <w:ind w:firstLine="420" w:firstLineChars="200"/>
    </w:pPr>
    <w:rPr>
      <w:kern w:val="0"/>
      <w:sz w:val="20"/>
    </w:rPr>
  </w:style>
  <w:style w:type="character" w:customStyle="1" w:styleId="83">
    <w:name w:val="表正文 Char2"/>
    <w:autoRedefine/>
    <w:qFormat/>
    <w:uiPriority w:val="0"/>
    <w:rPr>
      <w:rFonts w:eastAsia="宋体"/>
      <w:kern w:val="2"/>
      <w:sz w:val="21"/>
      <w:szCs w:val="24"/>
      <w:lang w:val="en-US" w:eastAsia="zh-CN" w:bidi="ar-SA"/>
    </w:rPr>
  </w:style>
  <w:style w:type="paragraph" w:customStyle="1" w:styleId="84">
    <w:name w:val="TOC 标题1"/>
    <w:basedOn w:val="3"/>
    <w:next w:val="1"/>
    <w:autoRedefine/>
    <w:unhideWhenUsed/>
    <w:qFormat/>
    <w:uiPriority w:val="39"/>
    <w:pPr>
      <w:widowControl/>
      <w:spacing w:before="480" w:after="0" w:line="276" w:lineRule="auto"/>
      <w:jc w:val="left"/>
      <w:outlineLvl w:val="9"/>
    </w:pPr>
    <w:rPr>
      <w:rFonts w:ascii="Cambria" w:hAnsi="Cambria" w:eastAsia="宋体"/>
      <w:color w:val="365F91"/>
      <w:kern w:val="0"/>
      <w:sz w:val="28"/>
      <w:szCs w:val="28"/>
    </w:rPr>
  </w:style>
  <w:style w:type="paragraph" w:customStyle="1" w:styleId="85">
    <w:name w:val="样式 标题 2 + 段前: 13 磅 段后: 13 磅 行距: 单倍行距"/>
    <w:basedOn w:val="4"/>
    <w:autoRedefine/>
    <w:qFormat/>
    <w:uiPriority w:val="0"/>
    <w:pPr>
      <w:spacing w:before="0" w:after="0" w:line="240" w:lineRule="auto"/>
    </w:pPr>
    <w:rPr>
      <w:rFonts w:ascii="Cambria" w:hAnsi="Cambria" w:eastAsia="宋体" w:cs="宋体"/>
      <w:szCs w:val="20"/>
    </w:rPr>
  </w:style>
  <w:style w:type="character" w:customStyle="1" w:styleId="86">
    <w:name w:val="不明显强调1"/>
    <w:autoRedefine/>
    <w:qFormat/>
    <w:uiPriority w:val="19"/>
    <w:rPr>
      <w:i/>
      <w:iCs/>
      <w:color w:val="808080"/>
    </w:rPr>
  </w:style>
  <w:style w:type="paragraph" w:customStyle="1" w:styleId="87">
    <w:name w:val="无间隔1"/>
    <w:autoRedefine/>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88">
    <w:name w:val="不明显参考1"/>
    <w:autoRedefine/>
    <w:qFormat/>
    <w:uiPriority w:val="31"/>
    <w:rPr>
      <w:smallCaps/>
      <w:color w:val="C0504D"/>
      <w:u w:val="single"/>
    </w:rPr>
  </w:style>
  <w:style w:type="character" w:customStyle="1" w:styleId="89">
    <w:name w:val="标题 5 Char"/>
    <w:link w:val="7"/>
    <w:autoRedefine/>
    <w:qFormat/>
    <w:uiPriority w:val="0"/>
    <w:rPr>
      <w:rFonts w:ascii="Times New Roman" w:hAnsi="Times New Roman" w:eastAsia="宋体" w:cs="Times New Roman"/>
      <w:b/>
      <w:bCs/>
      <w:sz w:val="28"/>
      <w:szCs w:val="28"/>
    </w:rPr>
  </w:style>
  <w:style w:type="character" w:customStyle="1" w:styleId="90">
    <w:name w:val="标题 6 Char"/>
    <w:link w:val="8"/>
    <w:autoRedefine/>
    <w:qFormat/>
    <w:uiPriority w:val="0"/>
    <w:rPr>
      <w:rFonts w:ascii="Cambria" w:hAnsi="Cambria" w:eastAsia="宋体" w:cs="Times New Roman"/>
      <w:b/>
      <w:bCs/>
      <w:sz w:val="24"/>
      <w:szCs w:val="24"/>
    </w:rPr>
  </w:style>
  <w:style w:type="character" w:customStyle="1" w:styleId="91">
    <w:name w:val="标题 7 Char"/>
    <w:link w:val="9"/>
    <w:autoRedefine/>
    <w:qFormat/>
    <w:uiPriority w:val="0"/>
    <w:rPr>
      <w:rFonts w:ascii="Times New Roman" w:hAnsi="Times New Roman" w:eastAsia="宋体" w:cs="Times New Roman"/>
      <w:b/>
      <w:bCs/>
      <w:sz w:val="24"/>
      <w:szCs w:val="24"/>
    </w:rPr>
  </w:style>
  <w:style w:type="character" w:customStyle="1" w:styleId="92">
    <w:name w:val="标题 8 Char"/>
    <w:link w:val="10"/>
    <w:autoRedefine/>
    <w:qFormat/>
    <w:uiPriority w:val="0"/>
    <w:rPr>
      <w:rFonts w:ascii="Arial" w:hAnsi="Arial" w:eastAsia="黑体" w:cs="Times New Roman"/>
      <w:sz w:val="24"/>
      <w:szCs w:val="24"/>
    </w:rPr>
  </w:style>
  <w:style w:type="character" w:customStyle="1" w:styleId="93">
    <w:name w:val="标题 9 Char"/>
    <w:link w:val="11"/>
    <w:autoRedefine/>
    <w:qFormat/>
    <w:uiPriority w:val="0"/>
    <w:rPr>
      <w:rFonts w:ascii="Arial" w:hAnsi="Arial" w:eastAsia="黑体" w:cs="Times New Roman"/>
      <w:sz w:val="24"/>
      <w:szCs w:val="21"/>
    </w:rPr>
  </w:style>
  <w:style w:type="character" w:customStyle="1" w:styleId="94">
    <w:name w:val="正文文本缩进 2 Char"/>
    <w:link w:val="25"/>
    <w:autoRedefine/>
    <w:qFormat/>
    <w:uiPriority w:val="0"/>
    <w:rPr>
      <w:rFonts w:ascii="Times New Roman" w:hAnsi="Times New Roman" w:eastAsia="宋体" w:cs="Times New Roman"/>
      <w:szCs w:val="24"/>
    </w:rPr>
  </w:style>
  <w:style w:type="character" w:customStyle="1" w:styleId="95">
    <w:name w:val="正文文本缩进 Char"/>
    <w:link w:val="19"/>
    <w:autoRedefine/>
    <w:qFormat/>
    <w:uiPriority w:val="0"/>
    <w:rPr>
      <w:rFonts w:ascii="Times New Roman" w:hAnsi="Times New Roman" w:eastAsia="宋体" w:cs="Times New Roman"/>
      <w:szCs w:val="24"/>
    </w:rPr>
  </w:style>
  <w:style w:type="paragraph" w:customStyle="1" w:styleId="96">
    <w:name w:val="样式 正文缩进 + 首行缩进:  2 字符"/>
    <w:basedOn w:val="13"/>
    <w:autoRedefine/>
    <w:qFormat/>
    <w:uiPriority w:val="0"/>
    <w:pPr>
      <w:spacing w:line="360" w:lineRule="auto"/>
      <w:ind w:firstLine="480"/>
    </w:pPr>
    <w:rPr>
      <w:rFonts w:ascii="宋体" w:hAnsi="宋体" w:cs="Century"/>
      <w:sz w:val="24"/>
      <w:szCs w:val="20"/>
    </w:rPr>
  </w:style>
  <w:style w:type="paragraph" w:customStyle="1" w:styleId="97">
    <w:name w:val="Char Char Char"/>
    <w:basedOn w:val="1"/>
    <w:autoRedefine/>
    <w:qFormat/>
    <w:uiPriority w:val="0"/>
    <w:rPr>
      <w:rFonts w:ascii="Tahoma" w:hAnsi="Tahoma"/>
      <w:b/>
      <w:kern w:val="0"/>
      <w:sz w:val="28"/>
      <w:szCs w:val="20"/>
    </w:rPr>
  </w:style>
  <w:style w:type="paragraph" w:customStyle="1" w:styleId="98">
    <w:name w:val="Char Char Char Char Char Char Char"/>
    <w:basedOn w:val="16"/>
    <w:autoRedefine/>
    <w:qFormat/>
    <w:uiPriority w:val="0"/>
    <w:rPr>
      <w:rFonts w:ascii="Tahoma" w:hAnsi="Tahoma"/>
      <w:sz w:val="24"/>
    </w:rPr>
  </w:style>
  <w:style w:type="character" w:customStyle="1" w:styleId="99">
    <w:name w:val="op_url3_showurl_url1"/>
    <w:autoRedefine/>
    <w:qFormat/>
    <w:uiPriority w:val="0"/>
    <w:rPr>
      <w:color w:val="008000"/>
      <w:sz w:val="16"/>
      <w:szCs w:val="16"/>
    </w:rPr>
  </w:style>
  <w:style w:type="character" w:customStyle="1" w:styleId="100">
    <w:name w:val="g1"/>
    <w:autoRedefine/>
    <w:qFormat/>
    <w:uiPriority w:val="0"/>
    <w:rPr>
      <w:color w:val="008000"/>
    </w:rPr>
  </w:style>
  <w:style w:type="character" w:customStyle="1" w:styleId="101">
    <w:name w:val="二级标题 Char Char"/>
    <w:link w:val="102"/>
    <w:autoRedefine/>
    <w:qFormat/>
    <w:uiPriority w:val="0"/>
    <w:rPr>
      <w:rFonts w:ascii="方正正黑简体" w:hAnsi="方正正黑简体" w:eastAsia="方正正黑简体"/>
      <w:b/>
      <w:bCs/>
      <w:color w:val="31849B"/>
      <w:sz w:val="32"/>
      <w:szCs w:val="28"/>
    </w:rPr>
  </w:style>
  <w:style w:type="paragraph" w:customStyle="1" w:styleId="102">
    <w:name w:val="二级标题"/>
    <w:basedOn w:val="4"/>
    <w:link w:val="101"/>
    <w:autoRedefine/>
    <w:qFormat/>
    <w:uiPriority w:val="0"/>
    <w:pPr>
      <w:tabs>
        <w:tab w:val="left" w:pos="840"/>
        <w:tab w:val="left" w:pos="1200"/>
      </w:tabs>
      <w:spacing w:line="413" w:lineRule="auto"/>
      <w:ind w:left="1200" w:right="-907" w:rightChars="-432" w:hanging="420"/>
    </w:pPr>
    <w:rPr>
      <w:rFonts w:ascii="方正正黑简体" w:hAnsi="方正正黑简体" w:eastAsia="方正正黑简体"/>
      <w:color w:val="31849B"/>
      <w:kern w:val="0"/>
      <w:szCs w:val="28"/>
    </w:rPr>
  </w:style>
  <w:style w:type="character" w:customStyle="1" w:styleId="103">
    <w:name w:val="方案正文 Char Char"/>
    <w:link w:val="104"/>
    <w:autoRedefine/>
    <w:qFormat/>
    <w:uiPriority w:val="0"/>
    <w:rPr>
      <w:rFonts w:ascii="方正正黑简体" w:hAnsi="??" w:eastAsia="方正正黑简体"/>
      <w:szCs w:val="24"/>
    </w:rPr>
  </w:style>
  <w:style w:type="paragraph" w:customStyle="1" w:styleId="104">
    <w:name w:val="方案正文"/>
    <w:basedOn w:val="1"/>
    <w:link w:val="103"/>
    <w:autoRedefine/>
    <w:qFormat/>
    <w:uiPriority w:val="0"/>
    <w:pPr>
      <w:spacing w:before="120" w:after="120" w:line="360" w:lineRule="auto"/>
      <w:ind w:firstLine="403" w:firstLineChars="192"/>
    </w:pPr>
    <w:rPr>
      <w:rFonts w:ascii="方正正黑简体" w:hAnsi="??" w:eastAsia="方正正黑简体"/>
      <w:kern w:val="0"/>
      <w:sz w:val="20"/>
    </w:rPr>
  </w:style>
  <w:style w:type="character" w:customStyle="1" w:styleId="105">
    <w:name w:val="文档正文 Char"/>
    <w:link w:val="106"/>
    <w:autoRedefine/>
    <w:qFormat/>
    <w:uiPriority w:val="0"/>
    <w:rPr>
      <w:rFonts w:ascii="宋体" w:hAnsi="宋体"/>
      <w:sz w:val="24"/>
      <w:szCs w:val="24"/>
    </w:rPr>
  </w:style>
  <w:style w:type="paragraph" w:customStyle="1" w:styleId="106">
    <w:name w:val="文档正文"/>
    <w:basedOn w:val="1"/>
    <w:link w:val="105"/>
    <w:autoRedefine/>
    <w:qFormat/>
    <w:uiPriority w:val="0"/>
    <w:pPr>
      <w:spacing w:line="360" w:lineRule="auto"/>
      <w:ind w:firstLine="480" w:firstLineChars="200"/>
    </w:pPr>
    <w:rPr>
      <w:rFonts w:ascii="宋体" w:hAnsi="宋体"/>
      <w:kern w:val="0"/>
      <w:sz w:val="24"/>
    </w:rPr>
  </w:style>
  <w:style w:type="character" w:customStyle="1" w:styleId="107">
    <w:name w:val="标题 3 Char1"/>
    <w:autoRedefine/>
    <w:qFormat/>
    <w:uiPriority w:val="0"/>
    <w:rPr>
      <w:rFonts w:ascii="Arial" w:hAnsi="Arial"/>
      <w:b/>
      <w:bCs/>
      <w:kern w:val="2"/>
      <w:sz w:val="21"/>
      <w:szCs w:val="21"/>
    </w:rPr>
  </w:style>
  <w:style w:type="character" w:customStyle="1" w:styleId="108">
    <w:name w:val="正文首行缩进 2 Char"/>
    <w:link w:val="43"/>
    <w:autoRedefine/>
    <w:qFormat/>
    <w:uiPriority w:val="0"/>
    <w:rPr>
      <w:rFonts w:ascii="Times New Roman" w:hAnsi="Times New Roman" w:eastAsia="宋体" w:cs="Times New Roman"/>
      <w:szCs w:val="24"/>
    </w:rPr>
  </w:style>
  <w:style w:type="paragraph" w:customStyle="1" w:styleId="109">
    <w:name w:val="样式 首行缩进:  0.85 厘米"/>
    <w:basedOn w:val="1"/>
    <w:autoRedefine/>
    <w:semiHidden/>
    <w:qFormat/>
    <w:uiPriority w:val="0"/>
    <w:pPr>
      <w:spacing w:line="360" w:lineRule="auto"/>
      <w:ind w:firstLine="482"/>
    </w:pPr>
    <w:rPr>
      <w:rFonts w:cs="宋体"/>
      <w:sz w:val="24"/>
      <w:szCs w:val="20"/>
    </w:rPr>
  </w:style>
  <w:style w:type="paragraph" w:customStyle="1" w:styleId="110">
    <w:name w:val="正文缩进1"/>
    <w:basedOn w:val="1"/>
    <w:autoRedefine/>
    <w:semiHidden/>
    <w:qFormat/>
    <w:uiPriority w:val="0"/>
    <w:pPr>
      <w:ind w:firstLine="480"/>
    </w:pPr>
    <w:rPr>
      <w:rFonts w:cs="宋体"/>
      <w:sz w:val="24"/>
      <w:szCs w:val="20"/>
    </w:rPr>
  </w:style>
  <w:style w:type="paragraph" w:customStyle="1" w:styleId="111">
    <w:name w:val="样式5"/>
    <w:basedOn w:val="6"/>
    <w:autoRedefine/>
    <w:qFormat/>
    <w:uiPriority w:val="0"/>
    <w:rPr>
      <w:rFonts w:ascii="宋体" w:hAnsi="宋体" w:eastAsia="宋体"/>
      <w:b w:val="0"/>
      <w:sz w:val="24"/>
    </w:rPr>
  </w:style>
  <w:style w:type="paragraph" w:customStyle="1" w:styleId="112">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13">
    <w:name w:val="样式 标题 2 + 非加粗"/>
    <w:basedOn w:val="4"/>
    <w:autoRedefine/>
    <w:qFormat/>
    <w:uiPriority w:val="0"/>
    <w:pPr>
      <w:keepLines w:val="0"/>
      <w:tabs>
        <w:tab w:val="left" w:pos="840"/>
      </w:tabs>
      <w:spacing w:before="0" w:after="0" w:line="360" w:lineRule="auto"/>
      <w:ind w:left="840" w:hanging="420"/>
    </w:pPr>
    <w:rPr>
      <w:rFonts w:ascii="宋体" w:hAnsi="宋体" w:eastAsia="宋体"/>
      <w:szCs w:val="24"/>
    </w:rPr>
  </w:style>
  <w:style w:type="paragraph" w:customStyle="1" w:styleId="114">
    <w:name w:val="内容文本"/>
    <w:basedOn w:val="82"/>
    <w:link w:val="115"/>
    <w:autoRedefine/>
    <w:qFormat/>
    <w:uiPriority w:val="0"/>
    <w:pPr>
      <w:spacing w:line="360" w:lineRule="auto"/>
      <w:ind w:firstLine="200"/>
      <w:contextualSpacing/>
      <w:jc w:val="left"/>
    </w:pPr>
    <w:rPr>
      <w:rFonts w:ascii="宋体" w:hAnsi="宋体"/>
      <w:sz w:val="24"/>
      <w:lang w:eastAsia="en-US" w:bidi="en-US"/>
    </w:rPr>
  </w:style>
  <w:style w:type="character" w:customStyle="1" w:styleId="115">
    <w:name w:val="内容文本 Char"/>
    <w:link w:val="114"/>
    <w:autoRedefine/>
    <w:qFormat/>
    <w:uiPriority w:val="0"/>
    <w:rPr>
      <w:rFonts w:ascii="宋体" w:hAnsi="宋体" w:eastAsia="宋体" w:cs="Times New Roman"/>
      <w:kern w:val="0"/>
      <w:sz w:val="24"/>
      <w:szCs w:val="24"/>
      <w:lang w:eastAsia="en-US" w:bidi="en-US"/>
    </w:rPr>
  </w:style>
  <w:style w:type="character" w:customStyle="1" w:styleId="116">
    <w:name w:val="列出段落 Char"/>
    <w:link w:val="82"/>
    <w:autoRedefine/>
    <w:qFormat/>
    <w:locked/>
    <w:uiPriority w:val="34"/>
    <w:rPr>
      <w:rFonts w:ascii="Times New Roman" w:hAnsi="Times New Roman" w:eastAsia="宋体" w:cs="Times New Roman"/>
      <w:szCs w:val="24"/>
    </w:rPr>
  </w:style>
  <w:style w:type="paragraph" w:customStyle="1" w:styleId="117">
    <w:name w:val="GP正文(无首行缩进)"/>
    <w:basedOn w:val="1"/>
    <w:autoRedefine/>
    <w:qFormat/>
    <w:uiPriority w:val="0"/>
    <w:pPr>
      <w:spacing w:line="360" w:lineRule="auto"/>
      <w:ind w:firstLine="480" w:firstLineChars="200"/>
      <w:jc w:val="left"/>
    </w:pPr>
    <w:rPr>
      <w:rFonts w:hAnsi="宋体"/>
      <w:sz w:val="24"/>
    </w:rPr>
  </w:style>
  <w:style w:type="character" w:customStyle="1" w:styleId="118">
    <w:name w:val="标准正文 Char Char"/>
    <w:link w:val="119"/>
    <w:autoRedefine/>
    <w:qFormat/>
    <w:uiPriority w:val="0"/>
    <w:rPr>
      <w:sz w:val="24"/>
    </w:rPr>
  </w:style>
  <w:style w:type="paragraph" w:customStyle="1" w:styleId="119">
    <w:name w:val="标准正文"/>
    <w:basedOn w:val="19"/>
    <w:link w:val="118"/>
    <w:autoRedefine/>
    <w:qFormat/>
    <w:uiPriority w:val="0"/>
    <w:pPr>
      <w:spacing w:before="60" w:after="60" w:line="360" w:lineRule="auto"/>
      <w:ind w:left="0" w:leftChars="0" w:firstLine="482" w:firstLineChars="200"/>
    </w:pPr>
    <w:rPr>
      <w:rFonts w:ascii="Calibri" w:hAnsi="Calibri"/>
      <w:kern w:val="0"/>
      <w:sz w:val="24"/>
      <w:szCs w:val="20"/>
    </w:rPr>
  </w:style>
  <w:style w:type="paragraph" w:customStyle="1" w:styleId="120">
    <w:name w:val="*正文"/>
    <w:basedOn w:val="1"/>
    <w:link w:val="121"/>
    <w:autoRedefine/>
    <w:qFormat/>
    <w:uiPriority w:val="0"/>
    <w:pPr>
      <w:spacing w:line="360" w:lineRule="auto"/>
      <w:ind w:firstLine="200" w:firstLineChars="200"/>
    </w:pPr>
    <w:rPr>
      <w:rFonts w:ascii="宋体" w:hAnsi="宋体"/>
      <w:kern w:val="0"/>
      <w:sz w:val="22"/>
    </w:rPr>
  </w:style>
  <w:style w:type="character" w:customStyle="1" w:styleId="121">
    <w:name w:val="*正文 Char"/>
    <w:link w:val="120"/>
    <w:autoRedefine/>
    <w:qFormat/>
    <w:uiPriority w:val="0"/>
    <w:rPr>
      <w:rFonts w:ascii="宋体" w:hAnsi="宋体" w:eastAsia="宋体" w:cs="Times New Roman"/>
      <w:sz w:val="22"/>
      <w:szCs w:val="24"/>
    </w:rPr>
  </w:style>
  <w:style w:type="paragraph" w:customStyle="1" w:styleId="122">
    <w:name w:val="标题1"/>
    <w:basedOn w:val="1"/>
    <w:link w:val="129"/>
    <w:autoRedefine/>
    <w:qFormat/>
    <w:uiPriority w:val="0"/>
    <w:pPr>
      <w:numPr>
        <w:ilvl w:val="0"/>
        <w:numId w:val="3"/>
      </w:numPr>
      <w:spacing w:line="360" w:lineRule="auto"/>
      <w:jc w:val="center"/>
      <w:outlineLvl w:val="0"/>
    </w:pPr>
    <w:rPr>
      <w:b/>
      <w:bCs/>
      <w:kern w:val="44"/>
      <w:sz w:val="44"/>
      <w:szCs w:val="44"/>
    </w:rPr>
  </w:style>
  <w:style w:type="paragraph" w:customStyle="1" w:styleId="123">
    <w:name w:val="标题2"/>
    <w:link w:val="130"/>
    <w:autoRedefine/>
    <w:qFormat/>
    <w:uiPriority w:val="0"/>
    <w:pPr>
      <w:numPr>
        <w:ilvl w:val="1"/>
        <w:numId w:val="3"/>
      </w:numPr>
      <w:outlineLvl w:val="1"/>
    </w:pPr>
    <w:rPr>
      <w:rFonts w:ascii="Times New Roman" w:hAnsi="Times New Roman" w:eastAsia="宋体" w:cs="Times New Roman"/>
      <w:b/>
      <w:bCs/>
      <w:kern w:val="44"/>
      <w:sz w:val="30"/>
      <w:szCs w:val="44"/>
      <w:lang w:val="en-US" w:eastAsia="zh-CN" w:bidi="ar-SA"/>
    </w:rPr>
  </w:style>
  <w:style w:type="paragraph" w:customStyle="1" w:styleId="124">
    <w:name w:val="标题3"/>
    <w:link w:val="125"/>
    <w:autoRedefine/>
    <w:qFormat/>
    <w:uiPriority w:val="0"/>
    <w:pPr>
      <w:numPr>
        <w:ilvl w:val="2"/>
        <w:numId w:val="3"/>
      </w:numPr>
      <w:spacing w:line="360" w:lineRule="auto"/>
      <w:outlineLvl w:val="2"/>
    </w:pPr>
    <w:rPr>
      <w:rFonts w:ascii="Times New Roman" w:hAnsi="Times New Roman" w:eastAsia="宋体" w:cs="Times New Roman"/>
      <w:b/>
      <w:kern w:val="44"/>
      <w:sz w:val="28"/>
      <w:szCs w:val="44"/>
      <w:lang w:val="en-US" w:eastAsia="zh-CN" w:bidi="ar-SA"/>
    </w:rPr>
  </w:style>
  <w:style w:type="character" w:customStyle="1" w:styleId="125">
    <w:name w:val="标题3 Char"/>
    <w:link w:val="124"/>
    <w:autoRedefine/>
    <w:qFormat/>
    <w:uiPriority w:val="0"/>
    <w:rPr>
      <w:rFonts w:ascii="Times New Roman" w:hAnsi="Times New Roman"/>
      <w:b/>
      <w:kern w:val="44"/>
      <w:sz w:val="28"/>
      <w:szCs w:val="44"/>
      <w:lang w:bidi="ar-SA"/>
    </w:rPr>
  </w:style>
  <w:style w:type="paragraph" w:customStyle="1" w:styleId="126">
    <w:name w:val="样式 标题 4H4Ref Heading 1rh1Heading sqlsect 1.2.3.4h4First S..."/>
    <w:basedOn w:val="6"/>
    <w:autoRedefine/>
    <w:qFormat/>
    <w:uiPriority w:val="0"/>
    <w:pPr>
      <w:tabs>
        <w:tab w:val="left" w:pos="1680"/>
      </w:tabs>
      <w:spacing w:before="0" w:after="0" w:line="360" w:lineRule="auto"/>
      <w:ind w:left="1680" w:hanging="420"/>
      <w:jc w:val="left"/>
    </w:pPr>
    <w:rPr>
      <w:rFonts w:ascii="Tahoma" w:hAnsi="Tahoma" w:eastAsia="宋体" w:cs="宋体"/>
      <w:bCs w:val="0"/>
      <w:sz w:val="24"/>
      <w:szCs w:val="20"/>
    </w:rPr>
  </w:style>
  <w:style w:type="paragraph" w:customStyle="1" w:styleId="127">
    <w:name w:val="图例"/>
    <w:basedOn w:val="1"/>
    <w:link w:val="128"/>
    <w:autoRedefine/>
    <w:qFormat/>
    <w:uiPriority w:val="0"/>
    <w:pPr>
      <w:numPr>
        <w:ilvl w:val="0"/>
        <w:numId w:val="4"/>
      </w:numPr>
      <w:jc w:val="center"/>
    </w:pPr>
    <w:rPr>
      <w:rFonts w:eastAsia="华文细黑"/>
      <w:kern w:val="0"/>
      <w:sz w:val="20"/>
    </w:rPr>
  </w:style>
  <w:style w:type="character" w:customStyle="1" w:styleId="128">
    <w:name w:val="图例 Char"/>
    <w:link w:val="127"/>
    <w:autoRedefine/>
    <w:qFormat/>
    <w:uiPriority w:val="0"/>
    <w:rPr>
      <w:rFonts w:ascii="Times New Roman" w:hAnsi="Times New Roman" w:eastAsia="华文细黑" w:cs="Times New Roman"/>
      <w:szCs w:val="24"/>
    </w:rPr>
  </w:style>
  <w:style w:type="character" w:customStyle="1" w:styleId="129">
    <w:name w:val="标题1 Char"/>
    <w:link w:val="122"/>
    <w:autoRedefine/>
    <w:qFormat/>
    <w:uiPriority w:val="0"/>
    <w:rPr>
      <w:rFonts w:ascii="Times New Roman" w:hAnsi="Times New Roman" w:eastAsia="宋体" w:cs="Times New Roman"/>
      <w:b/>
      <w:bCs/>
      <w:kern w:val="44"/>
      <w:sz w:val="44"/>
      <w:szCs w:val="44"/>
    </w:rPr>
  </w:style>
  <w:style w:type="character" w:customStyle="1" w:styleId="130">
    <w:name w:val="标题2 Char"/>
    <w:link w:val="123"/>
    <w:autoRedefine/>
    <w:qFormat/>
    <w:uiPriority w:val="0"/>
    <w:rPr>
      <w:rFonts w:ascii="Times New Roman" w:hAnsi="Times New Roman"/>
      <w:b/>
      <w:bCs/>
      <w:kern w:val="44"/>
      <w:sz w:val="30"/>
      <w:szCs w:val="44"/>
      <w:lang w:bidi="ar-SA"/>
    </w:rPr>
  </w:style>
  <w:style w:type="paragraph" w:customStyle="1" w:styleId="131">
    <w:name w:val="样式 首行缩进:  0 字符"/>
    <w:basedOn w:val="1"/>
    <w:autoRedefine/>
    <w:qFormat/>
    <w:uiPriority w:val="0"/>
    <w:pPr>
      <w:spacing w:line="360" w:lineRule="auto"/>
      <w:ind w:firstLine="200" w:firstLineChars="200"/>
    </w:pPr>
    <w:rPr>
      <w:rFonts w:ascii="Verdana" w:hAnsi="Verdana" w:cs="宋体"/>
      <w:sz w:val="24"/>
      <w:szCs w:val="20"/>
    </w:rPr>
  </w:style>
  <w:style w:type="paragraph" w:customStyle="1" w:styleId="132">
    <w:name w:val="样式3"/>
    <w:basedOn w:val="1"/>
    <w:link w:val="133"/>
    <w:autoRedefine/>
    <w:qFormat/>
    <w:uiPriority w:val="0"/>
    <w:pPr>
      <w:jc w:val="center"/>
    </w:pPr>
    <w:rPr>
      <w:rFonts w:eastAsia="华文细黑"/>
      <w:kern w:val="0"/>
      <w:sz w:val="20"/>
    </w:rPr>
  </w:style>
  <w:style w:type="character" w:customStyle="1" w:styleId="133">
    <w:name w:val="样式3 Char"/>
    <w:link w:val="132"/>
    <w:autoRedefine/>
    <w:qFormat/>
    <w:uiPriority w:val="0"/>
    <w:rPr>
      <w:rFonts w:ascii="Times New Roman" w:hAnsi="Times New Roman" w:eastAsia="华文细黑" w:cs="Times New Roman"/>
      <w:szCs w:val="24"/>
    </w:rPr>
  </w:style>
  <w:style w:type="paragraph" w:customStyle="1" w:styleId="134">
    <w:name w:val="Z3"/>
    <w:basedOn w:val="1"/>
    <w:autoRedefine/>
    <w:qFormat/>
    <w:uiPriority w:val="0"/>
    <w:pPr>
      <w:numPr>
        <w:ilvl w:val="2"/>
        <w:numId w:val="2"/>
      </w:numPr>
      <w:spacing w:before="360" w:after="180"/>
      <w:ind w:firstLine="0"/>
      <w:outlineLvl w:val="2"/>
    </w:pPr>
    <w:rPr>
      <w:rFonts w:ascii="Tahoma" w:hAnsi="Tahoma" w:eastAsia="幼圆"/>
      <w:caps/>
      <w:sz w:val="28"/>
      <w:szCs w:val="20"/>
    </w:rPr>
  </w:style>
  <w:style w:type="paragraph" w:customStyle="1" w:styleId="135">
    <w:name w:val="样式 样式 首行缩进:  2 字符 + 首行缩进:  2 字符1"/>
    <w:basedOn w:val="1"/>
    <w:autoRedefine/>
    <w:qFormat/>
    <w:uiPriority w:val="0"/>
    <w:pPr>
      <w:numPr>
        <w:ilvl w:val="1"/>
        <w:numId w:val="2"/>
      </w:numPr>
      <w:spacing w:beforeLines="50" w:afterLines="50" w:line="520" w:lineRule="exact"/>
      <w:ind w:left="0" w:firstLine="560" w:firstLineChars="200"/>
    </w:pPr>
    <w:rPr>
      <w:rFonts w:ascii="黑体" w:eastAsia="仿宋_GB2312" w:cs="宋体"/>
      <w:sz w:val="28"/>
      <w:szCs w:val="20"/>
    </w:rPr>
  </w:style>
  <w:style w:type="paragraph" w:customStyle="1" w:styleId="136">
    <w:name w:val="GP正文(首行缩进)"/>
    <w:basedOn w:val="1"/>
    <w:autoRedefine/>
    <w:qFormat/>
    <w:uiPriority w:val="0"/>
    <w:pPr>
      <w:spacing w:line="360" w:lineRule="auto"/>
      <w:ind w:firstLine="200" w:firstLineChars="200"/>
      <w:jc w:val="left"/>
    </w:pPr>
    <w:rPr>
      <w:sz w:val="24"/>
      <w:szCs w:val="21"/>
    </w:rPr>
  </w:style>
  <w:style w:type="paragraph" w:customStyle="1" w:styleId="137">
    <w:name w:val="标题一a"/>
    <w:basedOn w:val="1"/>
    <w:autoRedefine/>
    <w:qFormat/>
    <w:uiPriority w:val="0"/>
    <w:pPr>
      <w:numPr>
        <w:ilvl w:val="0"/>
        <w:numId w:val="5"/>
      </w:numPr>
      <w:spacing w:line="360" w:lineRule="auto"/>
      <w:ind w:firstLine="200" w:firstLineChars="200"/>
    </w:pPr>
    <w:rPr>
      <w:sz w:val="24"/>
      <w:szCs w:val="22"/>
    </w:rPr>
  </w:style>
  <w:style w:type="paragraph" w:customStyle="1" w:styleId="138">
    <w:name w:val="编号，小四"/>
    <w:basedOn w:val="1"/>
    <w:link w:val="142"/>
    <w:autoRedefine/>
    <w:qFormat/>
    <w:uiPriority w:val="0"/>
    <w:pPr>
      <w:numPr>
        <w:ilvl w:val="0"/>
        <w:numId w:val="6"/>
      </w:numPr>
      <w:spacing w:line="360" w:lineRule="auto"/>
    </w:pPr>
    <w:rPr>
      <w:rFonts w:ascii="Verdana" w:hAnsi="Verdana"/>
      <w:kern w:val="0"/>
      <w:sz w:val="24"/>
      <w:szCs w:val="20"/>
    </w:rPr>
  </w:style>
  <w:style w:type="paragraph" w:customStyle="1" w:styleId="139">
    <w:name w:val="编号，四号"/>
    <w:basedOn w:val="138"/>
    <w:autoRedefine/>
    <w:qFormat/>
    <w:uiPriority w:val="0"/>
    <w:pPr>
      <w:numPr>
        <w:ilvl w:val="0"/>
        <w:numId w:val="7"/>
      </w:numPr>
      <w:ind w:left="0" w:firstLine="0"/>
    </w:pPr>
    <w:rPr>
      <w:sz w:val="28"/>
    </w:rPr>
  </w:style>
  <w:style w:type="character" w:customStyle="1" w:styleId="140">
    <w:name w:val="题注 Char"/>
    <w:link w:val="14"/>
    <w:autoRedefine/>
    <w:qFormat/>
    <w:uiPriority w:val="0"/>
    <w:rPr>
      <w:rFonts w:ascii="Arial Unicode MS" w:hAnsi="Arial Unicode MS" w:eastAsia="宋体" w:cs="Times New Roman"/>
      <w:szCs w:val="20"/>
    </w:rPr>
  </w:style>
  <w:style w:type="table" w:customStyle="1" w:styleId="141">
    <w:name w:val="网格型1"/>
    <w:basedOn w:val="44"/>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2">
    <w:name w:val="编号，小四 Char"/>
    <w:link w:val="138"/>
    <w:autoRedefine/>
    <w:qFormat/>
    <w:uiPriority w:val="0"/>
    <w:rPr>
      <w:rFonts w:ascii="Verdana" w:hAnsi="Verdana" w:eastAsia="宋体" w:cs="Times New Roman"/>
      <w:sz w:val="24"/>
      <w:szCs w:val="20"/>
    </w:rPr>
  </w:style>
  <w:style w:type="paragraph" w:customStyle="1" w:styleId="143">
    <w:name w:val="表格表头"/>
    <w:basedOn w:val="1"/>
    <w:autoRedefine/>
    <w:qFormat/>
    <w:uiPriority w:val="0"/>
    <w:pPr>
      <w:spacing w:line="360" w:lineRule="auto"/>
      <w:jc w:val="center"/>
      <w:outlineLvl w:val="0"/>
    </w:pPr>
    <w:rPr>
      <w:rFonts w:ascii="宋体" w:hAnsi="宋体" w:eastAsia="黑体" w:cs="宋体"/>
      <w:sz w:val="24"/>
      <w:szCs w:val="21"/>
    </w:rPr>
  </w:style>
  <w:style w:type="paragraph" w:customStyle="1" w:styleId="144">
    <w:name w:val="表格正文"/>
    <w:basedOn w:val="1"/>
    <w:autoRedefine/>
    <w:qFormat/>
    <w:uiPriority w:val="0"/>
    <w:pPr>
      <w:spacing w:line="360" w:lineRule="auto"/>
      <w:jc w:val="left"/>
    </w:pPr>
    <w:rPr>
      <w:rFonts w:ascii="Verdana" w:hAnsi="Verdana" w:cs="宋体"/>
      <w:szCs w:val="28"/>
    </w:rPr>
  </w:style>
  <w:style w:type="paragraph" w:customStyle="1" w:styleId="145">
    <w:name w:val="Default"/>
    <w:autoRedefine/>
    <w:qFormat/>
    <w:uiPriority w:val="0"/>
    <w:pPr>
      <w:widowControl w:val="0"/>
      <w:autoSpaceDE w:val="0"/>
      <w:autoSpaceDN w:val="0"/>
      <w:adjustRightInd w:val="0"/>
    </w:pPr>
    <w:rPr>
      <w:rFonts w:ascii="Wingdings" w:hAnsi="Wingdings" w:eastAsia="宋体" w:cs="Wingdings"/>
      <w:color w:val="000000"/>
      <w:sz w:val="24"/>
      <w:szCs w:val="24"/>
      <w:lang w:val="en-US" w:eastAsia="zh-CN" w:bidi="ar-SA"/>
    </w:rPr>
  </w:style>
  <w:style w:type="character" w:customStyle="1" w:styleId="146">
    <w:name w:val="正文文本缩进 3 Char"/>
    <w:link w:val="33"/>
    <w:autoRedefine/>
    <w:qFormat/>
    <w:uiPriority w:val="0"/>
    <w:rPr>
      <w:rFonts w:ascii="Times New Roman" w:hAnsi="Times New Roman" w:eastAsia="宋体" w:cs="Times New Roman"/>
      <w:sz w:val="16"/>
      <w:szCs w:val="16"/>
    </w:rPr>
  </w:style>
  <w:style w:type="character" w:customStyle="1" w:styleId="147">
    <w:name w:val="正文文本 2 Char"/>
    <w:link w:val="36"/>
    <w:autoRedefine/>
    <w:qFormat/>
    <w:uiPriority w:val="0"/>
    <w:rPr>
      <w:rFonts w:ascii="Times New Roman" w:hAnsi="Times New Roman" w:eastAsia="宋体" w:cs="Times New Roman"/>
      <w:szCs w:val="24"/>
    </w:rPr>
  </w:style>
  <w:style w:type="character" w:customStyle="1" w:styleId="148">
    <w:name w:val="已访问的超链接1"/>
    <w:autoRedefine/>
    <w:unhideWhenUsed/>
    <w:qFormat/>
    <w:uiPriority w:val="0"/>
    <w:rPr>
      <w:color w:val="800080"/>
      <w:u w:val="single"/>
    </w:rPr>
  </w:style>
  <w:style w:type="paragraph" w:customStyle="1" w:styleId="149">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0">
    <w:name w:val="font6"/>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1">
    <w:name w:val="font7"/>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2">
    <w:name w:val="xl64"/>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153">
    <w:name w:val="xl65"/>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154">
    <w:name w:val="xl66"/>
    <w:basedOn w:val="1"/>
    <w:autoRedefine/>
    <w:qFormat/>
    <w:uiPriority w:val="0"/>
    <w:pPr>
      <w:widowControl/>
      <w:spacing w:before="100" w:beforeAutospacing="1" w:after="100" w:afterAutospacing="1"/>
      <w:jc w:val="right"/>
    </w:pPr>
    <w:rPr>
      <w:rFonts w:ascii="宋体" w:hAnsi="宋体" w:cs="宋体"/>
      <w:kern w:val="0"/>
      <w:sz w:val="20"/>
      <w:szCs w:val="20"/>
    </w:rPr>
  </w:style>
  <w:style w:type="paragraph" w:customStyle="1" w:styleId="155">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56">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57">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58">
    <w:name w:val="xl7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159">
    <w:name w:val="xl7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0">
    <w:name w:val="xl7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1">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2">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63">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64">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5">
    <w:name w:val="xl7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6">
    <w:name w:val="xl7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67">
    <w:name w:val="xl7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168">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9">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70">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kern w:val="0"/>
      <w:sz w:val="24"/>
    </w:rPr>
  </w:style>
  <w:style w:type="paragraph" w:customStyle="1" w:styleId="171">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172">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173">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174">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24"/>
    </w:rPr>
  </w:style>
  <w:style w:type="paragraph" w:customStyle="1" w:styleId="175">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76">
    <w:name w:val="xl8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77">
    <w:name w:val="xl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78">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79">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80">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4"/>
    </w:rPr>
  </w:style>
  <w:style w:type="paragraph" w:customStyle="1" w:styleId="181">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82">
    <w:name w:val="xl9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b/>
      <w:bCs/>
      <w:kern w:val="0"/>
      <w:sz w:val="24"/>
    </w:rPr>
  </w:style>
  <w:style w:type="paragraph" w:customStyle="1" w:styleId="183">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b/>
      <w:bCs/>
      <w:kern w:val="0"/>
      <w:sz w:val="24"/>
    </w:rPr>
  </w:style>
  <w:style w:type="paragraph" w:customStyle="1" w:styleId="184">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top"/>
    </w:pPr>
    <w:rPr>
      <w:rFonts w:ascii="宋体" w:hAnsi="宋体" w:cs="宋体"/>
      <w:b/>
      <w:bCs/>
      <w:kern w:val="0"/>
      <w:sz w:val="24"/>
    </w:rPr>
  </w:style>
  <w:style w:type="paragraph" w:customStyle="1" w:styleId="185">
    <w:name w:val="xl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86">
    <w:name w:val="xl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87">
    <w:name w:val="xl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kern w:val="0"/>
      <w:sz w:val="24"/>
    </w:rPr>
  </w:style>
  <w:style w:type="paragraph" w:customStyle="1" w:styleId="188">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rPr>
  </w:style>
  <w:style w:type="paragraph" w:customStyle="1" w:styleId="189">
    <w:name w:val="xl101"/>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4"/>
    </w:rPr>
  </w:style>
  <w:style w:type="paragraph" w:customStyle="1" w:styleId="190">
    <w:name w:val="xl102"/>
    <w:basedOn w:val="1"/>
    <w:autoRedefine/>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4"/>
    </w:rPr>
  </w:style>
  <w:style w:type="paragraph" w:customStyle="1" w:styleId="191">
    <w:name w:val="xl10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92">
    <w:name w:val="xl104"/>
    <w:basedOn w:val="1"/>
    <w:autoRedefine/>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93">
    <w:name w:val="xl105"/>
    <w:basedOn w:val="1"/>
    <w:autoRedefine/>
    <w:qFormat/>
    <w:uiPriority w:val="0"/>
    <w:pPr>
      <w:widowControl/>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94">
    <w:name w:val="xl106"/>
    <w:basedOn w:val="1"/>
    <w:autoRedefine/>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95">
    <w:name w:val="表格样式居左"/>
    <w:link w:val="196"/>
    <w:autoRedefine/>
    <w:qFormat/>
    <w:uiPriority w:val="0"/>
    <w:pPr>
      <w:adjustRightInd w:val="0"/>
      <w:snapToGrid w:val="0"/>
      <w:spacing w:line="360" w:lineRule="exact"/>
    </w:pPr>
    <w:rPr>
      <w:rFonts w:ascii="Times New Roman" w:hAnsi="Times New Roman" w:eastAsia="仿宋_GB2312" w:cs="Times New Roman"/>
      <w:bCs/>
      <w:color w:val="000000"/>
      <w:szCs w:val="44"/>
      <w:lang w:val="en-US" w:eastAsia="zh-CN" w:bidi="ar-SA"/>
    </w:rPr>
  </w:style>
  <w:style w:type="character" w:customStyle="1" w:styleId="196">
    <w:name w:val="表格样式居左 Char"/>
    <w:link w:val="195"/>
    <w:autoRedefine/>
    <w:qFormat/>
    <w:uiPriority w:val="0"/>
    <w:rPr>
      <w:rFonts w:ascii="Times New Roman" w:hAnsi="Times New Roman" w:eastAsia="仿宋_GB2312"/>
      <w:bCs/>
      <w:color w:val="000000"/>
      <w:szCs w:val="44"/>
      <w:lang w:bidi="ar-SA"/>
    </w:rPr>
  </w:style>
  <w:style w:type="paragraph" w:customStyle="1" w:styleId="197">
    <w:name w:val="xl63"/>
    <w:basedOn w:val="1"/>
    <w:autoRedefine/>
    <w:qFormat/>
    <w:uiPriority w:val="0"/>
    <w:pPr>
      <w:widowControl/>
      <w:spacing w:before="100" w:beforeAutospacing="1" w:after="100" w:afterAutospacing="1"/>
      <w:jc w:val="center"/>
    </w:pPr>
    <w:rPr>
      <w:rFonts w:ascii="宋体" w:hAnsi="宋体" w:cs="宋体"/>
      <w:kern w:val="0"/>
      <w:sz w:val="24"/>
    </w:rPr>
  </w:style>
  <w:style w:type="paragraph" w:customStyle="1" w:styleId="198">
    <w:name w:val="1册标题1"/>
    <w:basedOn w:val="1"/>
    <w:next w:val="1"/>
    <w:autoRedefine/>
    <w:qFormat/>
    <w:uiPriority w:val="0"/>
    <w:pPr>
      <w:spacing w:beforeLines="50" w:afterLines="50" w:line="300" w:lineRule="auto"/>
      <w:jc w:val="center"/>
      <w:outlineLvl w:val="0"/>
    </w:pPr>
    <w:rPr>
      <w:rFonts w:ascii="Arial" w:hAnsi="Arial" w:eastAsia="黑体"/>
      <w:b/>
      <w:bCs/>
      <w:sz w:val="48"/>
      <w:szCs w:val="20"/>
    </w:rPr>
  </w:style>
  <w:style w:type="character" w:customStyle="1" w:styleId="199">
    <w:name w:val="日期 Char"/>
    <w:link w:val="24"/>
    <w:autoRedefine/>
    <w:qFormat/>
    <w:uiPriority w:val="0"/>
    <w:rPr>
      <w:rFonts w:ascii="Times New Roman" w:hAnsi="Times New Roman" w:eastAsia="宋体" w:cs="Times New Roman"/>
      <w:szCs w:val="24"/>
    </w:rPr>
  </w:style>
  <w:style w:type="character" w:customStyle="1" w:styleId="200">
    <w:name w:val="正文文本 3 Char"/>
    <w:link w:val="18"/>
    <w:autoRedefine/>
    <w:qFormat/>
    <w:uiPriority w:val="0"/>
    <w:rPr>
      <w:rFonts w:ascii="Times New Roman" w:hAnsi="Times New Roman" w:eastAsia="宋体" w:cs="Times New Roman"/>
      <w:sz w:val="16"/>
      <w:szCs w:val="16"/>
    </w:rPr>
  </w:style>
  <w:style w:type="paragraph" w:customStyle="1" w:styleId="201">
    <w:name w:val="样式41"/>
    <w:basedOn w:val="1"/>
    <w:autoRedefine/>
    <w:qFormat/>
    <w:uiPriority w:val="0"/>
    <w:pPr>
      <w:tabs>
        <w:tab w:val="left" w:pos="945"/>
        <w:tab w:val="left" w:pos="1080"/>
      </w:tabs>
      <w:spacing w:line="360" w:lineRule="auto"/>
      <w:ind w:left="1080" w:hanging="720"/>
    </w:pPr>
    <w:rPr>
      <w:b/>
      <w:color w:val="000000"/>
      <w:sz w:val="24"/>
      <w:szCs w:val="20"/>
    </w:rPr>
  </w:style>
  <w:style w:type="paragraph" w:customStyle="1" w:styleId="20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203">
    <w:name w:val="自定义正文"/>
    <w:basedOn w:val="1"/>
    <w:autoRedefine/>
    <w:qFormat/>
    <w:uiPriority w:val="0"/>
    <w:pPr>
      <w:spacing w:afterLines="50"/>
      <w:ind w:left="600" w:leftChars="600"/>
    </w:pPr>
  </w:style>
  <w:style w:type="paragraph" w:customStyle="1" w:styleId="204">
    <w:name w:val="Char Char Char Char Char"/>
    <w:basedOn w:val="1"/>
    <w:autoRedefine/>
    <w:qFormat/>
    <w:uiPriority w:val="0"/>
    <w:rPr>
      <w:rFonts w:ascii="Tahoma" w:hAnsi="Tahoma"/>
      <w:sz w:val="24"/>
      <w:szCs w:val="20"/>
    </w:rPr>
  </w:style>
  <w:style w:type="paragraph" w:customStyle="1" w:styleId="205">
    <w:name w:val="小标题 1"/>
    <w:basedOn w:val="1"/>
    <w:autoRedefine/>
    <w:qFormat/>
    <w:uiPriority w:val="0"/>
    <w:pPr>
      <w:autoSpaceDE w:val="0"/>
      <w:autoSpaceDN w:val="0"/>
      <w:adjustRightInd w:val="0"/>
      <w:spacing w:line="360" w:lineRule="atLeast"/>
    </w:pPr>
    <w:rPr>
      <w:rFonts w:ascii="文鼎粗黑" w:eastAsia="文鼎粗黑"/>
      <w:kern w:val="0"/>
      <w:sz w:val="22"/>
      <w:szCs w:val="20"/>
    </w:rPr>
  </w:style>
  <w:style w:type="paragraph" w:customStyle="1" w:styleId="206">
    <w:name w:val="Char Char"/>
    <w:basedOn w:val="1"/>
    <w:autoRedefine/>
    <w:qFormat/>
    <w:uiPriority w:val="0"/>
    <w:rPr>
      <w:rFonts w:ascii="Tahoma" w:hAnsi="Tahoma"/>
      <w:sz w:val="24"/>
      <w:szCs w:val="20"/>
    </w:rPr>
  </w:style>
  <w:style w:type="paragraph" w:customStyle="1" w:styleId="207">
    <w:name w:val="È±Ê¡ÎÄ±¾"/>
    <w:basedOn w:val="1"/>
    <w:autoRedefine/>
    <w:qFormat/>
    <w:uiPriority w:val="0"/>
    <w:pPr>
      <w:widowControl/>
      <w:overflowPunct w:val="0"/>
      <w:autoSpaceDE w:val="0"/>
      <w:autoSpaceDN w:val="0"/>
      <w:adjustRightInd w:val="0"/>
      <w:jc w:val="left"/>
      <w:textAlignment w:val="baseline"/>
    </w:pPr>
    <w:rPr>
      <w:kern w:val="0"/>
      <w:sz w:val="24"/>
      <w:szCs w:val="20"/>
    </w:rPr>
  </w:style>
  <w:style w:type="paragraph" w:customStyle="1" w:styleId="208">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209">
    <w:name w:val="RFI text from 3rd Level"/>
    <w:basedOn w:val="1"/>
    <w:autoRedefine/>
    <w:qFormat/>
    <w:uiPriority w:val="0"/>
    <w:pPr>
      <w:widowControl/>
      <w:numPr>
        <w:ilvl w:val="0"/>
        <w:numId w:val="8"/>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210">
    <w:name w:val="正文文字缩进项目"/>
    <w:basedOn w:val="19"/>
    <w:autoRedefine/>
    <w:qFormat/>
    <w:uiPriority w:val="0"/>
    <w:pPr>
      <w:numPr>
        <w:ilvl w:val="1"/>
        <w:numId w:val="8"/>
      </w:numPr>
      <w:tabs>
        <w:tab w:val="left" w:pos="840"/>
        <w:tab w:val="clear" w:pos="1260"/>
      </w:tabs>
      <w:ind w:left="840" w:leftChars="0"/>
    </w:pPr>
    <w:rPr>
      <w:rFonts w:ascii="Tahoma" w:hAnsi="Tahoma"/>
      <w:sz w:val="22"/>
      <w:szCs w:val="20"/>
    </w:rPr>
  </w:style>
  <w:style w:type="character" w:customStyle="1" w:styleId="211">
    <w:name w:val="H4 Char2"/>
    <w:autoRedefine/>
    <w:qFormat/>
    <w:uiPriority w:val="0"/>
    <w:rPr>
      <w:rFonts w:ascii="Arial" w:hAnsi="Arial" w:eastAsia="黑体"/>
      <w:b/>
      <w:bCs/>
      <w:kern w:val="2"/>
      <w:sz w:val="28"/>
      <w:szCs w:val="28"/>
      <w:lang w:val="en-US" w:eastAsia="zh-CN" w:bidi="ar-SA"/>
    </w:rPr>
  </w:style>
  <w:style w:type="character" w:customStyle="1" w:styleId="212">
    <w:name w:val="正文文字首行缩进 Char"/>
    <w:autoRedefine/>
    <w:qFormat/>
    <w:uiPriority w:val="0"/>
    <w:rPr>
      <w:kern w:val="2"/>
      <w:sz w:val="21"/>
      <w:szCs w:val="24"/>
    </w:rPr>
  </w:style>
  <w:style w:type="character" w:customStyle="1" w:styleId="213">
    <w:name w:val="正文文本 Char1"/>
    <w:autoRedefine/>
    <w:qFormat/>
    <w:uiPriority w:val="0"/>
    <w:rPr>
      <w:rFonts w:eastAsia="宋体"/>
      <w:b/>
      <w:bCs/>
      <w:kern w:val="2"/>
      <w:sz w:val="24"/>
      <w:szCs w:val="24"/>
      <w:lang w:val="en-US" w:eastAsia="zh-CN" w:bidi="ar-SA"/>
    </w:rPr>
  </w:style>
  <w:style w:type="character" w:customStyle="1" w:styleId="214">
    <w:name w:val="标题 3 Char Char"/>
    <w:autoRedefine/>
    <w:qFormat/>
    <w:uiPriority w:val="0"/>
    <w:rPr>
      <w:rFonts w:eastAsia="宋体"/>
      <w:b/>
      <w:bCs/>
      <w:kern w:val="2"/>
      <w:sz w:val="32"/>
      <w:szCs w:val="32"/>
      <w:lang w:val="en-US" w:eastAsia="zh-CN" w:bidi="ar-SA"/>
    </w:rPr>
  </w:style>
  <w:style w:type="paragraph" w:customStyle="1" w:styleId="215">
    <w:name w:val="Char Char Char Char Char Char1 Char Char Char Char Char Char Char Char Char Char Char Char Char"/>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216">
    <w:name w:val="cont"/>
    <w:basedOn w:val="1"/>
    <w:autoRedefine/>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217">
    <w:name w:val="--规划正文"/>
    <w:basedOn w:val="1"/>
    <w:autoRedefine/>
    <w:qFormat/>
    <w:uiPriority w:val="0"/>
    <w:pPr>
      <w:spacing w:line="360" w:lineRule="auto"/>
      <w:ind w:firstLine="200" w:firstLineChars="200"/>
    </w:pPr>
    <w:rPr>
      <w:szCs w:val="20"/>
    </w:rPr>
  </w:style>
  <w:style w:type="paragraph" w:customStyle="1" w:styleId="218">
    <w:name w:val="设计依据"/>
    <w:basedOn w:val="2"/>
    <w:autoRedefine/>
    <w:qFormat/>
    <w:uiPriority w:val="0"/>
    <w:pPr>
      <w:numPr>
        <w:ilvl w:val="1"/>
        <w:numId w:val="9"/>
      </w:numPr>
      <w:tabs>
        <w:tab w:val="left" w:pos="1440"/>
        <w:tab w:val="clear" w:pos="840"/>
      </w:tabs>
      <w:adjustRightInd w:val="0"/>
      <w:spacing w:after="0" w:line="360" w:lineRule="auto"/>
      <w:ind w:left="1440"/>
      <w:textAlignment w:val="baseline"/>
    </w:pPr>
    <w:rPr>
      <w:rFonts w:ascii="宋体" w:hAnsi="宋体"/>
      <w:bCs/>
      <w:kern w:val="0"/>
      <w:sz w:val="28"/>
      <w:szCs w:val="18"/>
    </w:rPr>
  </w:style>
  <w:style w:type="paragraph" w:customStyle="1" w:styleId="219">
    <w:name w:val="方案要点"/>
    <w:basedOn w:val="1"/>
    <w:autoRedefine/>
    <w:qFormat/>
    <w:uiPriority w:val="0"/>
    <w:pPr>
      <w:numPr>
        <w:ilvl w:val="0"/>
        <w:numId w:val="9"/>
      </w:numPr>
      <w:spacing w:line="360" w:lineRule="auto"/>
    </w:pPr>
    <w:rPr>
      <w:rFonts w:ascii="仿宋_GB2312" w:hAnsi="宋体" w:eastAsia="仿宋_GB2312"/>
      <w:color w:val="000000"/>
      <w:sz w:val="28"/>
      <w:szCs w:val="28"/>
    </w:rPr>
  </w:style>
  <w:style w:type="paragraph" w:customStyle="1" w:styleId="220">
    <w:name w:val="样式4"/>
    <w:basedOn w:val="1"/>
    <w:autoRedefine/>
    <w:qFormat/>
    <w:uiPriority w:val="0"/>
    <w:pPr>
      <w:tabs>
        <w:tab w:val="left" w:pos="842"/>
      </w:tabs>
      <w:spacing w:line="360" w:lineRule="auto"/>
      <w:ind w:left="842" w:hanging="420"/>
    </w:pPr>
    <w:rPr>
      <w:sz w:val="24"/>
    </w:rPr>
  </w:style>
  <w:style w:type="paragraph" w:customStyle="1" w:styleId="221">
    <w:name w:val="文字"/>
    <w:basedOn w:val="1"/>
    <w:autoRedefine/>
    <w:qFormat/>
    <w:uiPriority w:val="0"/>
    <w:pPr>
      <w:tabs>
        <w:tab w:val="left" w:pos="8520"/>
      </w:tabs>
      <w:spacing w:line="312" w:lineRule="auto"/>
      <w:ind w:right="-210" w:firstLine="556"/>
    </w:pPr>
    <w:rPr>
      <w:rFonts w:ascii="宋体"/>
      <w:sz w:val="28"/>
      <w:szCs w:val="20"/>
    </w:rPr>
  </w:style>
  <w:style w:type="paragraph" w:customStyle="1" w:styleId="222">
    <w:name w:val="--规划-表格-居左"/>
    <w:basedOn w:val="217"/>
    <w:autoRedefine/>
    <w:qFormat/>
    <w:uiPriority w:val="0"/>
    <w:pPr>
      <w:spacing w:line="240" w:lineRule="auto"/>
      <w:ind w:firstLine="0" w:firstLineChars="0"/>
    </w:pPr>
    <w:rPr>
      <w:sz w:val="20"/>
    </w:rPr>
  </w:style>
  <w:style w:type="paragraph" w:customStyle="1" w:styleId="223">
    <w:name w:val="--规划-表格-居中"/>
    <w:basedOn w:val="217"/>
    <w:autoRedefine/>
    <w:qFormat/>
    <w:uiPriority w:val="0"/>
    <w:pPr>
      <w:spacing w:line="240" w:lineRule="auto"/>
      <w:ind w:firstLine="0" w:firstLineChars="0"/>
      <w:jc w:val="center"/>
    </w:pPr>
    <w:rPr>
      <w:sz w:val="20"/>
    </w:rPr>
  </w:style>
  <w:style w:type="paragraph" w:customStyle="1" w:styleId="224">
    <w:name w:val="--编号内缩进"/>
    <w:basedOn w:val="1"/>
    <w:autoRedefine/>
    <w:qFormat/>
    <w:uiPriority w:val="0"/>
    <w:pPr>
      <w:spacing w:line="360" w:lineRule="auto"/>
      <w:ind w:left="420" w:firstLine="200" w:firstLineChars="200"/>
    </w:pPr>
    <w:rPr>
      <w:szCs w:val="21"/>
    </w:rPr>
  </w:style>
  <w:style w:type="paragraph" w:customStyle="1" w:styleId="225">
    <w:name w:val="--规划-题注"/>
    <w:basedOn w:val="1"/>
    <w:next w:val="217"/>
    <w:autoRedefine/>
    <w:qFormat/>
    <w:uiPriority w:val="0"/>
    <w:pPr>
      <w:spacing w:line="360" w:lineRule="auto"/>
      <w:jc w:val="center"/>
    </w:pPr>
    <w:rPr>
      <w:rFonts w:eastAsia="黑体"/>
    </w:rPr>
  </w:style>
  <w:style w:type="paragraph" w:customStyle="1" w:styleId="226">
    <w:name w:val="--规划-图和表"/>
    <w:next w:val="217"/>
    <w:autoRedefine/>
    <w:qFormat/>
    <w:uiPriority w:val="0"/>
    <w:pPr>
      <w:jc w:val="center"/>
    </w:pPr>
    <w:rPr>
      <w:rFonts w:ascii="Times New Roman" w:hAnsi="Times New Roman" w:eastAsia="宋体" w:cs="Times New Roman"/>
      <w:kern w:val="2"/>
      <w:sz w:val="21"/>
      <w:lang w:val="en-US" w:eastAsia="zh-CN" w:bidi="ar-SA"/>
    </w:rPr>
  </w:style>
  <w:style w:type="paragraph" w:customStyle="1" w:styleId="227">
    <w:name w:val="--规划-小标题"/>
    <w:basedOn w:val="1"/>
    <w:next w:val="217"/>
    <w:autoRedefine/>
    <w:qFormat/>
    <w:uiPriority w:val="0"/>
    <w:pPr>
      <w:keepNext/>
      <w:keepLines/>
      <w:spacing w:line="360" w:lineRule="auto"/>
      <w:outlineLvl w:val="4"/>
    </w:pPr>
    <w:rPr>
      <w:rFonts w:eastAsia="黑体"/>
    </w:rPr>
  </w:style>
  <w:style w:type="paragraph" w:customStyle="1" w:styleId="228">
    <w:name w:val="--规划正文 Char"/>
    <w:basedOn w:val="1"/>
    <w:autoRedefine/>
    <w:qFormat/>
    <w:uiPriority w:val="0"/>
    <w:pPr>
      <w:spacing w:line="360" w:lineRule="auto"/>
      <w:ind w:firstLine="200" w:firstLineChars="200"/>
    </w:pPr>
    <w:rPr>
      <w:sz w:val="24"/>
    </w:rPr>
  </w:style>
  <w:style w:type="paragraph" w:customStyle="1" w:styleId="229">
    <w:name w:val="缺省文本"/>
    <w:basedOn w:val="1"/>
    <w:autoRedefine/>
    <w:qFormat/>
    <w:uiPriority w:val="0"/>
    <w:pPr>
      <w:autoSpaceDE w:val="0"/>
      <w:autoSpaceDN w:val="0"/>
      <w:adjustRightInd w:val="0"/>
      <w:jc w:val="left"/>
    </w:pPr>
    <w:rPr>
      <w:kern w:val="0"/>
    </w:rPr>
  </w:style>
  <w:style w:type="paragraph" w:customStyle="1" w:styleId="230">
    <w:name w:val="封面文档标题"/>
    <w:basedOn w:val="1"/>
    <w:autoRedefine/>
    <w:qFormat/>
    <w:uiPriority w:val="0"/>
    <w:pPr>
      <w:autoSpaceDE w:val="0"/>
      <w:autoSpaceDN w:val="0"/>
      <w:adjustRightInd w:val="0"/>
      <w:spacing w:line="360" w:lineRule="auto"/>
      <w:jc w:val="center"/>
    </w:pPr>
    <w:rPr>
      <w:rFonts w:ascii="Arial" w:hAnsi="Arial"/>
      <w:b/>
      <w:kern w:val="0"/>
      <w:sz w:val="56"/>
    </w:rPr>
  </w:style>
  <w:style w:type="character" w:customStyle="1" w:styleId="231">
    <w:name w:val="--规划正文 Char Char"/>
    <w:autoRedefine/>
    <w:qFormat/>
    <w:uiPriority w:val="0"/>
    <w:rPr>
      <w:rFonts w:eastAsia="宋体"/>
      <w:kern w:val="2"/>
      <w:sz w:val="24"/>
      <w:szCs w:val="24"/>
      <w:lang w:val="en-US" w:eastAsia="zh-CN" w:bidi="ar-SA"/>
    </w:rPr>
  </w:style>
  <w:style w:type="character" w:customStyle="1" w:styleId="232">
    <w:name w:val="--规划正文 Char1"/>
    <w:autoRedefine/>
    <w:qFormat/>
    <w:uiPriority w:val="0"/>
    <w:rPr>
      <w:rFonts w:eastAsia="宋体"/>
      <w:kern w:val="2"/>
      <w:sz w:val="21"/>
      <w:lang w:val="en-US" w:eastAsia="zh-CN" w:bidi="ar-SA"/>
    </w:rPr>
  </w:style>
  <w:style w:type="paragraph" w:customStyle="1" w:styleId="233">
    <w:name w:val="word"/>
    <w:basedOn w:val="1"/>
    <w:autoRedefine/>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234">
    <w:name w:val="列表项目"/>
    <w:basedOn w:val="1"/>
    <w:autoRedefine/>
    <w:qFormat/>
    <w:uiPriority w:val="0"/>
    <w:pPr>
      <w:tabs>
        <w:tab w:val="left" w:pos="420"/>
        <w:tab w:val="left" w:pos="1080"/>
      </w:tabs>
      <w:spacing w:line="288" w:lineRule="auto"/>
      <w:ind w:left="1080" w:hanging="360"/>
    </w:pPr>
    <w:rPr>
      <w:sz w:val="24"/>
      <w:szCs w:val="20"/>
    </w:rPr>
  </w:style>
  <w:style w:type="character" w:customStyle="1" w:styleId="235">
    <w:name w:val="content1"/>
    <w:autoRedefine/>
    <w:qFormat/>
    <w:uiPriority w:val="0"/>
    <w:rPr>
      <w:rFonts w:hint="default" w:ascii="??" w:hAnsi="??"/>
      <w:sz w:val="16"/>
      <w:szCs w:val="16"/>
      <w:u w:val="none"/>
    </w:rPr>
  </w:style>
  <w:style w:type="character" w:customStyle="1" w:styleId="236">
    <w:name w:val="unnamed4"/>
    <w:basedOn w:val="46"/>
    <w:autoRedefine/>
    <w:qFormat/>
    <w:uiPriority w:val="0"/>
  </w:style>
  <w:style w:type="character" w:customStyle="1" w:styleId="237">
    <w:name w:val="font2"/>
    <w:basedOn w:val="46"/>
    <w:autoRedefine/>
    <w:qFormat/>
    <w:uiPriority w:val="0"/>
  </w:style>
  <w:style w:type="character" w:customStyle="1" w:styleId="238">
    <w:name w:val="font41"/>
    <w:autoRedefine/>
    <w:qFormat/>
    <w:uiPriority w:val="0"/>
    <w:rPr>
      <w:color w:val="000000"/>
      <w:sz w:val="18"/>
      <w:szCs w:val="18"/>
      <w:u w:val="none"/>
    </w:rPr>
  </w:style>
  <w:style w:type="paragraph" w:customStyle="1" w:styleId="239">
    <w:name w:val="正文(首行缩进)"/>
    <w:autoRedefine/>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character" w:customStyle="1" w:styleId="240">
    <w:name w:val="正文首行缩进 Char"/>
    <w:link w:val="42"/>
    <w:autoRedefine/>
    <w:qFormat/>
    <w:uiPriority w:val="0"/>
    <w:rPr>
      <w:rFonts w:ascii="Times New Roman" w:hAnsi="Times New Roman" w:eastAsia="宋体" w:cs="Times New Roman"/>
      <w:b/>
      <w:bCs/>
      <w:szCs w:val="24"/>
    </w:rPr>
  </w:style>
  <w:style w:type="paragraph" w:customStyle="1" w:styleId="241">
    <w:name w:val="正文(首行缩进) Char"/>
    <w:autoRedefine/>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242">
    <w:name w:val="汉议细等线简8"/>
    <w:autoRedefine/>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243">
    <w:name w:val="汉仪细等线简9BOLD"/>
    <w:basedOn w:val="1"/>
    <w:autoRedefine/>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244">
    <w:name w:val="mode"/>
    <w:basedOn w:val="46"/>
    <w:autoRedefine/>
    <w:qFormat/>
    <w:uiPriority w:val="0"/>
  </w:style>
  <w:style w:type="character" w:customStyle="1" w:styleId="245">
    <w:name w:val="unnamed3"/>
    <w:basedOn w:val="46"/>
    <w:autoRedefine/>
    <w:qFormat/>
    <w:uiPriority w:val="0"/>
  </w:style>
  <w:style w:type="paragraph" w:customStyle="1" w:styleId="246">
    <w:name w:val="8"/>
    <w:basedOn w:val="1"/>
    <w:next w:val="19"/>
    <w:autoRedefine/>
    <w:qFormat/>
    <w:uiPriority w:val="0"/>
    <w:pPr>
      <w:spacing w:after="120"/>
      <w:ind w:left="420" w:leftChars="200"/>
    </w:pPr>
  </w:style>
  <w:style w:type="paragraph" w:customStyle="1" w:styleId="247">
    <w:name w:val="7"/>
    <w:basedOn w:val="1"/>
    <w:autoRedefine/>
    <w:qFormat/>
    <w:uiPriority w:val="0"/>
    <w:pPr>
      <w:autoSpaceDE w:val="0"/>
      <w:autoSpaceDN w:val="0"/>
      <w:adjustRightInd w:val="0"/>
      <w:spacing w:line="270" w:lineRule="atLeast"/>
      <w:jc w:val="left"/>
    </w:pPr>
    <w:rPr>
      <w:rFonts w:ascii="宋体"/>
      <w:kern w:val="0"/>
      <w:sz w:val="18"/>
      <w:szCs w:val="18"/>
    </w:rPr>
  </w:style>
  <w:style w:type="paragraph" w:customStyle="1" w:styleId="248">
    <w:name w:val="00"/>
    <w:basedOn w:val="1"/>
    <w:autoRedefine/>
    <w:qFormat/>
    <w:uiPriority w:val="0"/>
    <w:pPr>
      <w:autoSpaceDE w:val="0"/>
      <w:autoSpaceDN w:val="0"/>
      <w:adjustRightInd w:val="0"/>
      <w:jc w:val="left"/>
    </w:pPr>
    <w:rPr>
      <w:rFonts w:ascii="黑体" w:eastAsia="黑体"/>
      <w:b/>
      <w:bCs/>
      <w:kern w:val="0"/>
      <w:sz w:val="20"/>
      <w:szCs w:val="20"/>
    </w:rPr>
  </w:style>
  <w:style w:type="paragraph" w:customStyle="1" w:styleId="249">
    <w:name w:val="产品描述"/>
    <w:autoRedefine/>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250">
    <w:name w:val="姜文清定义的正文"/>
    <w:basedOn w:val="1"/>
    <w:autoRedefine/>
    <w:qFormat/>
    <w:uiPriority w:val="0"/>
    <w:pPr>
      <w:spacing w:line="240" w:lineRule="atLeast"/>
      <w:ind w:firstLine="567"/>
    </w:pPr>
    <w:rPr>
      <w:szCs w:val="20"/>
    </w:rPr>
  </w:style>
  <w:style w:type="paragraph" w:customStyle="1" w:styleId="251">
    <w:name w:val="CM2"/>
    <w:basedOn w:val="145"/>
    <w:next w:val="145"/>
    <w:autoRedefine/>
    <w:qFormat/>
    <w:uiPriority w:val="0"/>
    <w:pPr>
      <w:spacing w:line="200" w:lineRule="atLeast"/>
    </w:pPr>
    <w:rPr>
      <w:rFonts w:ascii="Arial" w:hAnsi="Arial" w:cs="Times New Roman"/>
      <w:color w:val="auto"/>
    </w:rPr>
  </w:style>
  <w:style w:type="paragraph" w:customStyle="1" w:styleId="252">
    <w:name w:val="Normal Paragraph"/>
    <w:basedOn w:val="1"/>
    <w:autoRedefine/>
    <w:qFormat/>
    <w:uiPriority w:val="0"/>
    <w:pPr>
      <w:widowControl/>
      <w:spacing w:before="120" w:line="360" w:lineRule="auto"/>
      <w:ind w:firstLine="425"/>
    </w:pPr>
    <w:rPr>
      <w:kern w:val="0"/>
      <w:sz w:val="24"/>
    </w:rPr>
  </w:style>
  <w:style w:type="character" w:customStyle="1" w:styleId="253">
    <w:name w:val="blue"/>
    <w:basedOn w:val="46"/>
    <w:autoRedefine/>
    <w:qFormat/>
    <w:uiPriority w:val="0"/>
  </w:style>
  <w:style w:type="paragraph" w:customStyle="1" w:styleId="254">
    <w:name w:val="blue1"/>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255">
    <w:name w:val="font"/>
    <w:basedOn w:val="46"/>
    <w:autoRedefine/>
    <w:qFormat/>
    <w:uiPriority w:val="0"/>
  </w:style>
  <w:style w:type="character" w:customStyle="1" w:styleId="256">
    <w:name w:val="font11"/>
    <w:autoRedefine/>
    <w:qFormat/>
    <w:uiPriority w:val="0"/>
    <w:rPr>
      <w:rFonts w:hint="default" w:ascii="ˎ̥" w:hAnsi="ˎ̥"/>
    </w:rPr>
  </w:style>
  <w:style w:type="paragraph" w:customStyle="1" w:styleId="257">
    <w:name w:val="a14"/>
    <w:basedOn w:val="1"/>
    <w:autoRedefine/>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258">
    <w:name w:val="proddescription"/>
    <w:basedOn w:val="46"/>
    <w:autoRedefine/>
    <w:qFormat/>
    <w:uiPriority w:val="0"/>
  </w:style>
  <w:style w:type="character" w:customStyle="1" w:styleId="259">
    <w:name w:val="prodheadlines"/>
    <w:basedOn w:val="46"/>
    <w:autoRedefine/>
    <w:qFormat/>
    <w:uiPriority w:val="0"/>
  </w:style>
  <w:style w:type="character" w:customStyle="1" w:styleId="260">
    <w:name w:val="text"/>
    <w:basedOn w:val="46"/>
    <w:autoRedefine/>
    <w:qFormat/>
    <w:uiPriority w:val="0"/>
  </w:style>
  <w:style w:type="paragraph" w:customStyle="1" w:styleId="261">
    <w:name w:val="text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2">
    <w:name w:val="z-窗体顶端1"/>
    <w:basedOn w:val="1"/>
    <w:next w:val="1"/>
    <w:link w:val="263"/>
    <w:autoRedefine/>
    <w:qFormat/>
    <w:uiPriority w:val="0"/>
    <w:pPr>
      <w:widowControl/>
      <w:pBdr>
        <w:bottom w:val="single" w:color="auto" w:sz="6" w:space="1"/>
      </w:pBdr>
      <w:jc w:val="center"/>
    </w:pPr>
    <w:rPr>
      <w:rFonts w:ascii="Arial" w:hAnsi="Arial"/>
      <w:vanish/>
      <w:kern w:val="0"/>
      <w:sz w:val="16"/>
      <w:szCs w:val="16"/>
    </w:rPr>
  </w:style>
  <w:style w:type="character" w:customStyle="1" w:styleId="263">
    <w:name w:val="z-窗体顶端 Char"/>
    <w:link w:val="262"/>
    <w:autoRedefine/>
    <w:qFormat/>
    <w:uiPriority w:val="0"/>
    <w:rPr>
      <w:rFonts w:ascii="Arial" w:hAnsi="Arial" w:eastAsia="宋体" w:cs="Times New Roman"/>
      <w:vanish/>
      <w:kern w:val="0"/>
      <w:sz w:val="16"/>
      <w:szCs w:val="16"/>
    </w:rPr>
  </w:style>
  <w:style w:type="paragraph" w:customStyle="1" w:styleId="264">
    <w:name w:val="z-窗体底端1"/>
    <w:basedOn w:val="1"/>
    <w:next w:val="1"/>
    <w:link w:val="265"/>
    <w:autoRedefine/>
    <w:qFormat/>
    <w:uiPriority w:val="0"/>
    <w:pPr>
      <w:widowControl/>
      <w:pBdr>
        <w:top w:val="single" w:color="auto" w:sz="6" w:space="1"/>
      </w:pBdr>
      <w:jc w:val="center"/>
    </w:pPr>
    <w:rPr>
      <w:rFonts w:ascii="Arial" w:hAnsi="Arial"/>
      <w:vanish/>
      <w:kern w:val="0"/>
      <w:sz w:val="16"/>
      <w:szCs w:val="16"/>
    </w:rPr>
  </w:style>
  <w:style w:type="character" w:customStyle="1" w:styleId="265">
    <w:name w:val="z-窗体底端 Char"/>
    <w:link w:val="264"/>
    <w:autoRedefine/>
    <w:qFormat/>
    <w:uiPriority w:val="0"/>
    <w:rPr>
      <w:rFonts w:ascii="Arial" w:hAnsi="Arial" w:eastAsia="宋体" w:cs="Times New Roman"/>
      <w:vanish/>
      <w:kern w:val="0"/>
      <w:sz w:val="16"/>
      <w:szCs w:val="16"/>
    </w:rPr>
  </w:style>
  <w:style w:type="paragraph" w:customStyle="1" w:styleId="266">
    <w:name w:val="正文样式"/>
    <w:basedOn w:val="1"/>
    <w:autoRedefine/>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267">
    <w:name w:val="xl34"/>
    <w:basedOn w:val="1"/>
    <w:autoRedefine/>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268">
    <w:name w:val="段落正文"/>
    <w:basedOn w:val="22"/>
    <w:autoRedefine/>
    <w:qFormat/>
    <w:uiPriority w:val="0"/>
    <w:pPr>
      <w:ind w:firstLine="560" w:firstLineChars="200"/>
    </w:pPr>
    <w:rPr>
      <w:sz w:val="28"/>
    </w:rPr>
  </w:style>
  <w:style w:type="character" w:customStyle="1" w:styleId="269">
    <w:name w:val="gray6"/>
    <w:basedOn w:val="46"/>
    <w:autoRedefine/>
    <w:qFormat/>
    <w:uiPriority w:val="0"/>
  </w:style>
  <w:style w:type="character" w:customStyle="1" w:styleId="270">
    <w:name w:val="style9"/>
    <w:basedOn w:val="46"/>
    <w:autoRedefine/>
    <w:qFormat/>
    <w:uiPriority w:val="0"/>
  </w:style>
  <w:style w:type="paragraph" w:customStyle="1" w:styleId="271">
    <w:name w:val="2册标题4"/>
    <w:basedOn w:val="1"/>
    <w:next w:val="1"/>
    <w:autoRedefine/>
    <w:qFormat/>
    <w:uiPriority w:val="0"/>
    <w:pPr>
      <w:spacing w:beforeLines="50" w:afterLines="50" w:line="300" w:lineRule="auto"/>
      <w:ind w:left="420" w:leftChars="200"/>
      <w:outlineLvl w:val="3"/>
    </w:pPr>
    <w:rPr>
      <w:rFonts w:ascii="Arial" w:hAnsi="Arial" w:eastAsia="幼圆" w:cs="Arial"/>
      <w:b/>
      <w:sz w:val="24"/>
    </w:rPr>
  </w:style>
  <w:style w:type="character" w:customStyle="1" w:styleId="272">
    <w:name w:val="grame"/>
    <w:basedOn w:val="46"/>
    <w:autoRedefine/>
    <w:qFormat/>
    <w:uiPriority w:val="0"/>
  </w:style>
  <w:style w:type="paragraph" w:customStyle="1" w:styleId="273">
    <w:name w:val="style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274">
    <w:name w:val="Char1"/>
    <w:basedOn w:val="1"/>
    <w:autoRedefine/>
    <w:qFormat/>
    <w:uiPriority w:val="0"/>
    <w:pPr>
      <w:jc w:val="left"/>
    </w:pPr>
    <w:rPr>
      <w:rFonts w:ascii="Tahoma" w:hAnsi="Tahoma"/>
      <w:sz w:val="24"/>
      <w:szCs w:val="20"/>
    </w:rPr>
  </w:style>
  <w:style w:type="paragraph" w:customStyle="1" w:styleId="275">
    <w:name w:val="编号1"/>
    <w:basedOn w:val="1"/>
    <w:autoRedefine/>
    <w:qFormat/>
    <w:uiPriority w:val="0"/>
    <w:pPr>
      <w:numPr>
        <w:ilvl w:val="0"/>
        <w:numId w:val="10"/>
      </w:numPr>
      <w:adjustRightInd w:val="0"/>
      <w:spacing w:line="300" w:lineRule="auto"/>
      <w:ind w:right="210"/>
      <w:textAlignment w:val="center"/>
    </w:pPr>
    <w:rPr>
      <w:rFonts w:ascii="宋体" w:hAnsi="宋体"/>
      <w:snapToGrid w:val="0"/>
      <w:spacing w:val="10"/>
      <w:kern w:val="24"/>
    </w:rPr>
  </w:style>
  <w:style w:type="paragraph" w:customStyle="1" w:styleId="276">
    <w:name w:val="Char Char Char Char Char Char Char Char Char Char Char Char Char Char Char Char Char Char Char Char Char Char"/>
    <w:basedOn w:val="1"/>
    <w:autoRedefine/>
    <w:qFormat/>
    <w:uiPriority w:val="0"/>
    <w:pPr>
      <w:widowControl/>
      <w:spacing w:line="400" w:lineRule="exact"/>
      <w:jc w:val="center"/>
    </w:pPr>
    <w:rPr>
      <w:rFonts w:ascii="Verdana" w:hAnsi="Verdana"/>
      <w:kern w:val="0"/>
      <w:szCs w:val="20"/>
      <w:lang w:eastAsia="en-US"/>
    </w:rPr>
  </w:style>
  <w:style w:type="paragraph" w:customStyle="1" w:styleId="277">
    <w:name w:val="font0"/>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278">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79">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80">
    <w:name w:val="表格字"/>
    <w:basedOn w:val="1"/>
    <w:autoRedefine/>
    <w:qFormat/>
    <w:uiPriority w:val="0"/>
    <w:pPr>
      <w:adjustRightInd w:val="0"/>
      <w:jc w:val="center"/>
    </w:pPr>
    <w:rPr>
      <w:rFonts w:ascii="宋体"/>
      <w:sz w:val="24"/>
      <w:szCs w:val="20"/>
    </w:rPr>
  </w:style>
  <w:style w:type="character" w:customStyle="1" w:styleId="281">
    <w:name w:val="样式 小三 加粗"/>
    <w:autoRedefine/>
    <w:qFormat/>
    <w:uiPriority w:val="0"/>
    <w:rPr>
      <w:rFonts w:eastAsia="宋体"/>
      <w:b/>
      <w:bCs/>
      <w:sz w:val="32"/>
    </w:rPr>
  </w:style>
  <w:style w:type="paragraph" w:customStyle="1" w:styleId="282">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83">
    <w:name w:val="qw"/>
    <w:autoRedefine/>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284">
    <w:name w:val="Char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285">
    <w:name w:val="info4"/>
    <w:basedOn w:val="46"/>
    <w:autoRedefine/>
    <w:qFormat/>
    <w:uiPriority w:val="0"/>
  </w:style>
  <w:style w:type="paragraph" w:customStyle="1" w:styleId="286">
    <w:name w:val="缩进正文"/>
    <w:basedOn w:val="1"/>
    <w:link w:val="287"/>
    <w:autoRedefine/>
    <w:qFormat/>
    <w:uiPriority w:val="0"/>
    <w:pPr>
      <w:ind w:firstLine="560" w:firstLineChars="200"/>
    </w:pPr>
    <w:rPr>
      <w:rFonts w:eastAsia="仿宋_GB2312"/>
      <w:kern w:val="0"/>
      <w:sz w:val="28"/>
      <w:szCs w:val="20"/>
    </w:rPr>
  </w:style>
  <w:style w:type="character" w:customStyle="1" w:styleId="287">
    <w:name w:val="缩进正文 Char"/>
    <w:link w:val="286"/>
    <w:autoRedefine/>
    <w:qFormat/>
    <w:uiPriority w:val="0"/>
    <w:rPr>
      <w:rFonts w:ascii="Times New Roman" w:hAnsi="Times New Roman" w:eastAsia="仿宋_GB2312" w:cs="Times New Roman"/>
      <w:sz w:val="28"/>
      <w:szCs w:val="20"/>
    </w:rPr>
  </w:style>
  <w:style w:type="paragraph" w:styleId="288">
    <w:name w:val="List Paragraph"/>
    <w:basedOn w:val="1"/>
    <w:autoRedefine/>
    <w:unhideWhenUsed/>
    <w:qFormat/>
    <w:uiPriority w:val="99"/>
    <w:pPr>
      <w:ind w:firstLine="420" w:firstLineChars="200"/>
    </w:pPr>
  </w:style>
  <w:style w:type="character" w:customStyle="1" w:styleId="289">
    <w:name w:val="正文缩进 Char1"/>
    <w:autoRedefine/>
    <w:qFormat/>
    <w:uiPriority w:val="0"/>
    <w:rPr>
      <w:rFonts w:ascii="Times New Roman" w:hAnsi="Times New Roman"/>
      <w:szCs w:val="24"/>
    </w:rPr>
  </w:style>
  <w:style w:type="paragraph" w:customStyle="1" w:styleId="290">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91">
    <w:name w:val="彩色列表 - 强调文字颜色 111"/>
    <w:basedOn w:val="1"/>
    <w:autoRedefine/>
    <w:qFormat/>
    <w:uiPriority w:val="0"/>
    <w:pPr>
      <w:ind w:firstLine="420" w:firstLineChars="200"/>
    </w:pPr>
  </w:style>
  <w:style w:type="paragraph" w:customStyle="1" w:styleId="292">
    <w:name w:val="正文 New New"/>
    <w:autoRedefine/>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paragraph" w:customStyle="1" w:styleId="293">
    <w:name w:val="正文1"/>
    <w:basedOn w:val="1"/>
    <w:autoRedefine/>
    <w:qFormat/>
    <w:uiPriority w:val="0"/>
    <w:pPr>
      <w:tabs>
        <w:tab w:val="left" w:pos="4"/>
      </w:tabs>
    </w:pPr>
    <w:rPr>
      <w:rFonts w:ascii="宋体" w:hAnsi="宋体"/>
      <w:sz w:val="18"/>
    </w:rPr>
  </w:style>
  <w:style w:type="table" w:customStyle="1" w:styleId="294">
    <w:name w:val="样式6"/>
    <w:basedOn w:val="44"/>
    <w:autoRedefine/>
    <w:qFormat/>
    <w:uiPriority w:val="99"/>
    <w:tblPr>
      <w:tblCellMar>
        <w:top w:w="0" w:type="dxa"/>
        <w:left w:w="108" w:type="dxa"/>
        <w:bottom w:w="0" w:type="dxa"/>
        <w:right w:w="108" w:type="dxa"/>
      </w:tblCellMar>
    </w:tblPr>
  </w:style>
  <w:style w:type="character" w:customStyle="1" w:styleId="295">
    <w:name w:val="正文文本 Char2"/>
    <w:basedOn w:val="46"/>
    <w:autoRedefine/>
    <w:qFormat/>
    <w:uiPriority w:val="0"/>
    <w:rPr>
      <w:kern w:val="2"/>
      <w:sz w:val="21"/>
      <w:szCs w:val="24"/>
    </w:rPr>
  </w:style>
  <w:style w:type="paragraph" w:customStyle="1" w:styleId="296">
    <w:name w:val="列出段落3"/>
    <w:basedOn w:val="1"/>
    <w:autoRedefine/>
    <w:qFormat/>
    <w:uiPriority w:val="99"/>
    <w:pPr>
      <w:ind w:firstLine="420" w:firstLineChars="200"/>
    </w:pPr>
    <w:rPr>
      <w:rFonts w:ascii="Calibri" w:hAnsi="Calibri"/>
    </w:rPr>
  </w:style>
  <w:style w:type="paragraph" w:customStyle="1" w:styleId="297">
    <w:name w:val="正文内容"/>
    <w:basedOn w:val="1"/>
    <w:autoRedefine/>
    <w:qFormat/>
    <w:uiPriority w:val="99"/>
    <w:pPr>
      <w:ind w:right="210"/>
    </w:pPr>
    <w:rPr>
      <w:rFonts w:ascii="Calibri" w:hAnsi="Calibri"/>
      <w:lang w:val="zh-CN"/>
    </w:rPr>
  </w:style>
  <w:style w:type="character" w:customStyle="1" w:styleId="298">
    <w:name w:val="font31"/>
    <w:basedOn w:val="46"/>
    <w:autoRedefine/>
    <w:qFormat/>
    <w:uiPriority w:val="0"/>
    <w:rPr>
      <w:rFonts w:hint="eastAsia" w:ascii="宋体" w:hAnsi="宋体" w:eastAsia="宋体" w:cs="宋体"/>
      <w:b/>
      <w:bCs/>
      <w:color w:val="000000"/>
      <w:sz w:val="16"/>
      <w:szCs w:val="16"/>
      <w:u w:val="none"/>
    </w:rPr>
  </w:style>
  <w:style w:type="character" w:customStyle="1" w:styleId="299">
    <w:name w:val="font51"/>
    <w:basedOn w:val="46"/>
    <w:autoRedefine/>
    <w:qFormat/>
    <w:uiPriority w:val="0"/>
    <w:rPr>
      <w:rFonts w:ascii="宋体" w:hAnsi="宋体" w:eastAsia="宋体" w:cs="宋体"/>
      <w:color w:val="000000"/>
      <w:sz w:val="18"/>
      <w:szCs w:val="18"/>
      <w:u w:val="none"/>
    </w:rPr>
  </w:style>
  <w:style w:type="character" w:customStyle="1" w:styleId="300">
    <w:name w:val="font61"/>
    <w:basedOn w:val="46"/>
    <w:autoRedefine/>
    <w:qFormat/>
    <w:uiPriority w:val="0"/>
    <w:rPr>
      <w:rFonts w:ascii="宋体" w:hAnsi="宋体" w:eastAsia="宋体" w:cs="宋体"/>
      <w:color w:val="000000"/>
      <w:sz w:val="16"/>
      <w:szCs w:val="16"/>
      <w:u w:val="none"/>
    </w:rPr>
  </w:style>
  <w:style w:type="character" w:customStyle="1" w:styleId="301">
    <w:name w:val="font71"/>
    <w:basedOn w:val="46"/>
    <w:autoRedefine/>
    <w:qFormat/>
    <w:uiPriority w:val="0"/>
    <w:rPr>
      <w:rFonts w:ascii="宋体" w:hAnsi="宋体" w:eastAsia="宋体" w:cs="宋体"/>
      <w:b/>
      <w:bCs/>
      <w:color w:val="000000"/>
      <w:sz w:val="16"/>
      <w:szCs w:val="16"/>
      <w:u w:val="none"/>
    </w:rPr>
  </w:style>
  <w:style w:type="character" w:customStyle="1" w:styleId="302">
    <w:name w:val="font81"/>
    <w:basedOn w:val="46"/>
    <w:autoRedefine/>
    <w:qFormat/>
    <w:uiPriority w:val="0"/>
    <w:rPr>
      <w:rFonts w:ascii="宋体" w:hAnsi="宋体" w:eastAsia="宋体" w:cs="宋体"/>
      <w:b/>
      <w:bCs/>
      <w:color w:val="000000"/>
      <w:sz w:val="18"/>
      <w:szCs w:val="18"/>
      <w:u w:val="none"/>
    </w:rPr>
  </w:style>
  <w:style w:type="character" w:customStyle="1" w:styleId="303">
    <w:name w:val="font01"/>
    <w:basedOn w:val="46"/>
    <w:autoRedefine/>
    <w:qFormat/>
    <w:uiPriority w:val="0"/>
    <w:rPr>
      <w:rFonts w:hint="default" w:ascii="Arial" w:hAnsi="Arial" w:cs="Arial"/>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F91C49-67D0-4190-A053-D2D1EA9ECAB3}">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126</Pages>
  <Words>15605</Words>
  <Characters>16493</Characters>
  <Lines>366</Lines>
  <Paragraphs>103</Paragraphs>
  <TotalTime>26</TotalTime>
  <ScaleCrop>false</ScaleCrop>
  <LinksUpToDate>false</LinksUpToDate>
  <CharactersWithSpaces>16881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2024-03-08T09:25:00Z</dcterms:created>
  <dc:creator>Administrator</dc:creator>
  <cp:lastModifiedBy>罗嘉璇</cp:lastModifiedBy>
  <cp:lastPrinted>2017-06-22T10:36:00Z</cp:lastPrinted>
  <dcterms:modified xsi:type="dcterms:W3CDTF">2025-07-01T10:12:57Z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6CC548129F0B4848AEA2C67054FCBDB8_13</vt:lpwstr>
  </property>
  <property fmtid="{D5CDD505-2E9C-101B-9397-08002B2CF9AE}" pid="4" name="KSOTemplateDocerSaveRecord">
    <vt:lpwstr>eyJoZGlkIjoiNTE1OGRjYzNjNzg2Y2NjM2VjYzZhM2Y3OTA5MmUyNmQiLCJ1c2VySWQiOiIxNDAwMTU4OTIxIn0=</vt:lpwstr>
  </property>
</Properties>
</file>